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AB1" w:rsidRPr="00D15441" w:rsidRDefault="00990AB1" w:rsidP="00990A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15441">
        <w:rPr>
          <w:rFonts w:ascii="Arial" w:hAnsi="Arial" w:cs="Arial"/>
          <w:b/>
          <w:bCs/>
          <w:color w:val="000000"/>
          <w:sz w:val="24"/>
          <w:szCs w:val="24"/>
        </w:rPr>
        <w:t xml:space="preserve">Paper </w:t>
      </w:r>
      <w:proofErr w:type="gramStart"/>
      <w:r w:rsidRPr="00D15441">
        <w:rPr>
          <w:rFonts w:ascii="Arial" w:hAnsi="Arial" w:cs="Arial"/>
          <w:b/>
          <w:bCs/>
          <w:color w:val="000000"/>
          <w:sz w:val="24"/>
          <w:szCs w:val="24"/>
        </w:rPr>
        <w:t>entitled  “</w:t>
      </w:r>
      <w:proofErr w:type="gramEnd"/>
      <w:r w:rsidRPr="00D15441">
        <w:rPr>
          <w:rFonts w:ascii="Arial" w:hAnsi="Arial" w:cs="Arial"/>
          <w:b/>
          <w:bCs/>
          <w:color w:val="000000"/>
          <w:sz w:val="24"/>
          <w:szCs w:val="24"/>
        </w:rPr>
        <w:t xml:space="preserve">Performance analysis of the proposed Reservoir Project in the State of West Bengal” by D. Roy and D. </w:t>
      </w:r>
      <w:proofErr w:type="spellStart"/>
      <w:r w:rsidRPr="00D15441">
        <w:rPr>
          <w:rFonts w:ascii="Arial" w:hAnsi="Arial" w:cs="Arial"/>
          <w:b/>
          <w:bCs/>
          <w:color w:val="000000"/>
          <w:sz w:val="24"/>
          <w:szCs w:val="24"/>
        </w:rPr>
        <w:t>Banerjee</w:t>
      </w:r>
      <w:proofErr w:type="spellEnd"/>
    </w:p>
    <w:p w:rsidR="00990AB1" w:rsidRPr="00D15441" w:rsidRDefault="00990AB1" w:rsidP="00990A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90AB1" w:rsidRPr="00D15441" w:rsidRDefault="00990AB1" w:rsidP="00990A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15441">
        <w:rPr>
          <w:rFonts w:ascii="Arial" w:hAnsi="Arial" w:cs="Arial"/>
          <w:sz w:val="24"/>
          <w:szCs w:val="24"/>
        </w:rPr>
        <w:t xml:space="preserve">Answers to </w:t>
      </w:r>
      <w:proofErr w:type="gramStart"/>
      <w:r w:rsidRPr="00D15441">
        <w:rPr>
          <w:rFonts w:ascii="Arial" w:hAnsi="Arial" w:cs="Arial"/>
          <w:sz w:val="24"/>
          <w:szCs w:val="24"/>
        </w:rPr>
        <w:t>the  comments</w:t>
      </w:r>
      <w:proofErr w:type="gramEnd"/>
      <w:r w:rsidRPr="00D15441">
        <w:rPr>
          <w:rFonts w:ascii="Arial" w:hAnsi="Arial" w:cs="Arial"/>
          <w:sz w:val="24"/>
          <w:szCs w:val="24"/>
        </w:rPr>
        <w:t xml:space="preserve"> of the </w:t>
      </w:r>
      <w:r w:rsidRPr="00D15441">
        <w:rPr>
          <w:rFonts w:ascii="Arial" w:hAnsi="Arial" w:cs="Arial"/>
          <w:b/>
          <w:bCs/>
          <w:color w:val="000000"/>
          <w:sz w:val="24"/>
          <w:szCs w:val="24"/>
        </w:rPr>
        <w:t xml:space="preserve">Anonymous Referee #1 </w:t>
      </w:r>
      <w:r w:rsidRPr="00D15441">
        <w:rPr>
          <w:rFonts w:ascii="Arial" w:hAnsi="Arial" w:cs="Arial"/>
          <w:sz w:val="24"/>
          <w:szCs w:val="24"/>
        </w:rPr>
        <w:t xml:space="preserve">are provided in the following Table </w:t>
      </w:r>
    </w:p>
    <w:p w:rsidR="00B63A7C" w:rsidRPr="00D15441" w:rsidRDefault="00B63A7C" w:rsidP="00B63A7C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B63A7C" w:rsidRPr="000E722B" w:rsidTr="00F639E0">
        <w:trPr>
          <w:trHeight w:val="557"/>
        </w:trPr>
        <w:tc>
          <w:tcPr>
            <w:tcW w:w="4428" w:type="dxa"/>
          </w:tcPr>
          <w:p w:rsidR="00B63A7C" w:rsidRPr="000E722B" w:rsidRDefault="000F7BCC" w:rsidP="001C53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  <w:tc>
          <w:tcPr>
            <w:tcW w:w="4428" w:type="dxa"/>
          </w:tcPr>
          <w:p w:rsidR="00B63A7C" w:rsidRPr="000E722B" w:rsidRDefault="00B63A7C" w:rsidP="001C534D">
            <w:pPr>
              <w:jc w:val="center"/>
              <w:rPr>
                <w:rFonts w:ascii="Arial" w:hAnsi="Arial" w:cs="Arial"/>
                <w:b/>
              </w:rPr>
            </w:pPr>
            <w:r w:rsidRPr="000E722B">
              <w:rPr>
                <w:rFonts w:ascii="Arial" w:hAnsi="Arial" w:cs="Arial"/>
                <w:b/>
              </w:rPr>
              <w:t>Answers</w:t>
            </w:r>
          </w:p>
        </w:tc>
      </w:tr>
      <w:tr w:rsidR="000F7BCC" w:rsidRPr="000E722B" w:rsidTr="001C534D">
        <w:trPr>
          <w:trHeight w:val="2484"/>
        </w:trPr>
        <w:tc>
          <w:tcPr>
            <w:tcW w:w="4428" w:type="dxa"/>
          </w:tcPr>
          <w:p w:rsidR="000F7BCC" w:rsidRDefault="000F7BCC" w:rsidP="0069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b/>
                <w:color w:val="000000"/>
              </w:rPr>
            </w:pPr>
            <w:r w:rsidRPr="000F7BCC">
              <w:rPr>
                <w:rFonts w:ascii="NimbusSanL-Regu" w:hAnsi="NimbusSanL-Regu" w:cs="NimbusSanL-Regu"/>
                <w:b/>
                <w:color w:val="000000"/>
              </w:rPr>
              <w:t>SPECIFIC/SCIENTIFIC COMMENTS</w:t>
            </w:r>
          </w:p>
          <w:p w:rsidR="008B0BD9" w:rsidRDefault="008B0BD9" w:rsidP="008B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1. Page 1376, Line 1: deterministic DP. Please explain what DP stands for.</w:t>
            </w:r>
          </w:p>
          <w:p w:rsidR="008B0BD9" w:rsidRDefault="008B0BD9" w:rsidP="008B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B0BD9" w:rsidRDefault="008B0BD9" w:rsidP="008B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2. Page 1378,</w:t>
            </w:r>
          </w:p>
          <w:p w:rsidR="008B0BD9" w:rsidRDefault="008B0BD9" w:rsidP="008B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2 Study area Please </w:t>
            </w:r>
            <w:r w:rsidRPr="00F0201E">
              <w:rPr>
                <w:rFonts w:ascii="NimbusSanL-Regu" w:hAnsi="NimbusSanL-Regu" w:cs="NimbusSanL-Regu"/>
              </w:rPr>
              <w:t>provide general description of the D. basin such</w:t>
            </w:r>
            <w:r>
              <w:rPr>
                <w:rFonts w:ascii="NimbusSanL-Regu" w:hAnsi="NimbusSanL-Regu" w:cs="NimbusSanL-Regu"/>
                <w:color w:val="000000"/>
              </w:rPr>
              <w:t xml:space="preserve"> as mean annual</w:t>
            </w:r>
          </w:p>
          <w:p w:rsidR="008B0BD9" w:rsidRPr="000F7BCC" w:rsidRDefault="008B0BD9" w:rsidP="008B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b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precipitation, temperature, evaporation</w:t>
            </w:r>
          </w:p>
        </w:tc>
        <w:tc>
          <w:tcPr>
            <w:tcW w:w="4428" w:type="dxa"/>
          </w:tcPr>
          <w:p w:rsidR="008B0BD9" w:rsidRDefault="008B0BD9" w:rsidP="008B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Arial" w:hAnsi="Arial" w:cs="Arial"/>
              </w:rPr>
              <w:t xml:space="preserve"> 1.</w:t>
            </w:r>
            <w:r>
              <w:rPr>
                <w:rFonts w:ascii="NimbusSanL-Regu" w:hAnsi="NimbusSanL-Regu" w:cs="NimbusSanL-Regu"/>
                <w:color w:val="000000"/>
              </w:rPr>
              <w:t xml:space="preserve"> DP stands for Dynamic Programming.</w:t>
            </w:r>
          </w:p>
          <w:p w:rsidR="000F7BCC" w:rsidRDefault="000F7BCC" w:rsidP="001C534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374A7" w:rsidRDefault="005374A7" w:rsidP="001C534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374A7" w:rsidRDefault="005374A7" w:rsidP="001C534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Annexure-I</w:t>
            </w:r>
          </w:p>
        </w:tc>
      </w:tr>
      <w:tr w:rsidR="00B63A7C" w:rsidRPr="000E722B" w:rsidTr="001C534D">
        <w:trPr>
          <w:trHeight w:val="2484"/>
        </w:trPr>
        <w:tc>
          <w:tcPr>
            <w:tcW w:w="4428" w:type="dxa"/>
          </w:tcPr>
          <w:p w:rsidR="0098259C" w:rsidRDefault="0098259C" w:rsidP="0098259C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b/>
                <w:color w:val="000000"/>
              </w:rPr>
            </w:pPr>
            <w:r w:rsidRPr="0098259C">
              <w:rPr>
                <w:rFonts w:ascii="NimbusSanL-Regu" w:hAnsi="NimbusSanL-Regu" w:cs="NimbusSanL-Regu"/>
                <w:b/>
                <w:color w:val="000000"/>
              </w:rPr>
              <w:t>Interactive Comment</w:t>
            </w:r>
            <w:r>
              <w:rPr>
                <w:rFonts w:ascii="NimbusSanL-Regu" w:hAnsi="NimbusSanL-Regu" w:cs="NimbusSanL-Regu"/>
                <w:b/>
                <w:color w:val="000000"/>
              </w:rPr>
              <w:t>s</w:t>
            </w:r>
          </w:p>
          <w:p w:rsidR="00B63A7C" w:rsidRPr="000E722B" w:rsidRDefault="00F639E0" w:rsidP="0069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Fig. 1: This figure is not acceptable. It doesn’t provide </w:t>
            </w:r>
            <w:r w:rsidRPr="00F0201E">
              <w:rPr>
                <w:rFonts w:ascii="NimbusSanL-Regu" w:hAnsi="NimbusSanL-Regu" w:cs="NimbusSanL-Regu"/>
              </w:rPr>
              <w:t>useful information</w:t>
            </w:r>
            <w:r>
              <w:rPr>
                <w:rFonts w:ascii="NimbusSanL-Regu" w:hAnsi="NimbusSanL-Regu" w:cs="NimbusSanL-Regu"/>
                <w:color w:val="000000"/>
              </w:rPr>
              <w:t xml:space="preserve"> regarding the</w:t>
            </w:r>
            <w:r w:rsidR="00691099">
              <w:rPr>
                <w:rFonts w:ascii="NimbusSanL-Regu" w:hAnsi="NimbusSanL-Regu" w:cs="NimbusSanL-Regu"/>
                <w:color w:val="000000"/>
              </w:rPr>
              <w:t xml:space="preserve"> </w:t>
            </w:r>
            <w:r>
              <w:rPr>
                <w:rFonts w:ascii="NimbusSanL-Regu" w:hAnsi="NimbusSanL-Regu" w:cs="NimbusSanL-Regu"/>
                <w:color w:val="000000"/>
              </w:rPr>
              <w:t>location of the D. river basin. It also misses the legend, scale and north arrow. Please</w:t>
            </w:r>
            <w:r w:rsidR="00691099">
              <w:rPr>
                <w:rFonts w:ascii="NimbusSanL-Regu" w:hAnsi="NimbusSanL-Regu" w:cs="NimbusSanL-Regu"/>
                <w:color w:val="000000"/>
              </w:rPr>
              <w:t xml:space="preserve"> </w:t>
            </w:r>
            <w:r>
              <w:rPr>
                <w:rFonts w:ascii="NimbusSanL-Regu" w:hAnsi="NimbusSanL-Regu" w:cs="NimbusSanL-Regu"/>
                <w:color w:val="000000"/>
              </w:rPr>
              <w:t>also provide the source of this satellite image</w:t>
            </w:r>
          </w:p>
        </w:tc>
        <w:tc>
          <w:tcPr>
            <w:tcW w:w="4428" w:type="dxa"/>
          </w:tcPr>
          <w:p w:rsidR="00B63A7C" w:rsidRPr="00F0201E" w:rsidRDefault="00B63A7C" w:rsidP="001C53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0201E">
              <w:rPr>
                <w:rFonts w:ascii="Arial" w:hAnsi="Arial" w:cs="Arial"/>
              </w:rPr>
              <w:t>Annexure-</w:t>
            </w:r>
            <w:r w:rsidR="005374A7" w:rsidRPr="00F0201E">
              <w:rPr>
                <w:rFonts w:ascii="Arial" w:hAnsi="Arial" w:cs="Arial"/>
              </w:rPr>
              <w:t>II</w:t>
            </w:r>
          </w:p>
          <w:p w:rsidR="00B63A7C" w:rsidRPr="000E722B" w:rsidRDefault="00B63A7C" w:rsidP="001C534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3497B" w:rsidRPr="000E722B" w:rsidTr="00814FA3">
        <w:trPr>
          <w:trHeight w:val="71"/>
        </w:trPr>
        <w:tc>
          <w:tcPr>
            <w:tcW w:w="4428" w:type="dxa"/>
          </w:tcPr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Line 9, Geologically, the upper</w:t>
            </w:r>
            <w:proofErr w:type="gramStart"/>
            <w:r>
              <w:rPr>
                <w:rFonts w:ascii="CMMI10" w:hAnsi="CMMI10" w:cs="CMMI10"/>
                <w:color w:val="000000"/>
              </w:rPr>
              <w:t>: :</w:t>
            </w:r>
            <w:proofErr w:type="gramEnd"/>
            <w:r>
              <w:rPr>
                <w:rFonts w:ascii="CMMI10" w:hAnsi="CMMI10" w:cs="CMMI10"/>
                <w:color w:val="000000"/>
              </w:rPr>
              <w:t xml:space="preserve"> : </w:t>
            </w:r>
            <w:r>
              <w:rPr>
                <w:rFonts w:ascii="NimbusSanL-Regu" w:hAnsi="NimbusSanL-Regu" w:cs="NimbusSanL-Regu"/>
                <w:color w:val="000000"/>
              </w:rPr>
              <w:t>It should be ‘geographically’.</w:t>
            </w: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Line 15, Does I&amp;WD stand for Irrigation &amp; Waterways Department? I couldn’t find the</w:t>
            </w: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proofErr w:type="gramStart"/>
            <w:r w:rsidRPr="007941FE">
              <w:rPr>
                <w:rFonts w:ascii="NimbusSanL-Regu" w:hAnsi="NimbusSanL-Regu" w:cs="NimbusSanL-Regu"/>
              </w:rPr>
              <w:t>full</w:t>
            </w:r>
            <w:proofErr w:type="gramEnd"/>
            <w:r w:rsidRPr="007941FE">
              <w:rPr>
                <w:rFonts w:ascii="NimbusSanL-Regu" w:hAnsi="NimbusSanL-Regu" w:cs="NimbusSanL-Regu"/>
              </w:rPr>
              <w:t xml:space="preserve"> name</w:t>
            </w:r>
            <w:r>
              <w:rPr>
                <w:rFonts w:ascii="NimbusSanL-Regu" w:hAnsi="NimbusSanL-Regu" w:cs="NimbusSanL-Regu"/>
                <w:color w:val="000000"/>
              </w:rPr>
              <w:t xml:space="preserve"> of I&amp;WD in the paper.</w:t>
            </w: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Line </w:t>
            </w:r>
            <w:proofErr w:type="gramStart"/>
            <w:r>
              <w:rPr>
                <w:rFonts w:ascii="NimbusSanL-Regu" w:hAnsi="NimbusSanL-Regu" w:cs="NimbusSanL-Regu"/>
                <w:color w:val="000000"/>
              </w:rPr>
              <w:t>22,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please </w:t>
            </w:r>
            <w:r w:rsidRPr="007941FE">
              <w:rPr>
                <w:rFonts w:ascii="NimbusSanL-Regu" w:hAnsi="NimbusSanL-Regu" w:cs="NimbusSanL-Regu"/>
              </w:rPr>
              <w:t>specify</w:t>
            </w:r>
            <w:r>
              <w:rPr>
                <w:rFonts w:ascii="NimbusSanL-Regu" w:hAnsi="NimbusSanL-Regu" w:cs="NimbusSanL-Regu"/>
                <w:color w:val="000000"/>
              </w:rPr>
              <w:t xml:space="preserve"> daily or monthly discharge data. It will be helpful to list available </w:t>
            </w:r>
            <w:r w:rsidRPr="007941FE">
              <w:rPr>
                <w:rFonts w:ascii="NimbusSanL-Regu" w:hAnsi="NimbusSanL-Regu" w:cs="NimbusSanL-Regu"/>
              </w:rPr>
              <w:t>data in a table format</w:t>
            </w:r>
            <w:r>
              <w:rPr>
                <w:rFonts w:ascii="NimbusSanL-Regu" w:hAnsi="NimbusSanL-Regu" w:cs="NimbusSanL-Regu"/>
                <w:color w:val="000000"/>
              </w:rPr>
              <w:t xml:space="preserve"> rather than the current text description. The list should include:</w:t>
            </w: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1) data item; 2) source of data; 3) availability (e.g. 1990-2000) and 4) temporal scale</w:t>
            </w: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(</w:t>
            </w:r>
            <w:proofErr w:type="gramStart"/>
            <w:r>
              <w:rPr>
                <w:rFonts w:ascii="NimbusSanL-Regu" w:hAnsi="NimbusSanL-Regu" w:cs="NimbusSanL-Regu"/>
                <w:color w:val="000000"/>
              </w:rPr>
              <w:t>e.g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>. daily or monthly).</w:t>
            </w: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1379,</w:t>
            </w:r>
          </w:p>
          <w:p w:rsidR="0083497B" w:rsidRDefault="0083497B" w:rsidP="00D5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Fig. 2: This figure misses a scale bar and a </w:t>
            </w:r>
            <w:r>
              <w:rPr>
                <w:rFonts w:ascii="NimbusSanL-Regu" w:hAnsi="NimbusSanL-Regu" w:cs="NimbusSanL-Regu"/>
                <w:color w:val="000000"/>
              </w:rPr>
              <w:lastRenderedPageBreak/>
              <w:t xml:space="preserve">north arrow. The numbers are hard </w:t>
            </w:r>
            <w:proofErr w:type="gramStart"/>
            <w:r>
              <w:rPr>
                <w:rFonts w:ascii="NimbusSanL-Regu" w:hAnsi="NimbusSanL-Regu" w:cs="NimbusSanL-Regu"/>
                <w:color w:val="000000"/>
              </w:rPr>
              <w:t>to  reqd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>.</w:t>
            </w:r>
          </w:p>
          <w:p w:rsidR="0083497B" w:rsidRPr="000E722B" w:rsidRDefault="0083497B" w:rsidP="001C534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83497B" w:rsidRDefault="0083497B" w:rsidP="001C534D">
            <w:pPr>
              <w:spacing w:line="360" w:lineRule="auto"/>
              <w:jc w:val="both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lastRenderedPageBreak/>
              <w:t>Line 9---we accept it</w:t>
            </w:r>
          </w:p>
          <w:p w:rsidR="0083497B" w:rsidRDefault="0083497B" w:rsidP="0083497B">
            <w:pPr>
              <w:spacing w:line="240" w:lineRule="auto"/>
              <w:jc w:val="both"/>
              <w:rPr>
                <w:rFonts w:ascii="NimbusSanL-Regu" w:hAnsi="NimbusSanL-Regu" w:cs="NimbusSanL-Regu"/>
                <w:color w:val="000000"/>
              </w:rPr>
            </w:pPr>
          </w:p>
          <w:p w:rsidR="0083497B" w:rsidRDefault="0083497B" w:rsidP="00472C14">
            <w:pPr>
              <w:spacing w:line="240" w:lineRule="auto"/>
              <w:jc w:val="both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Line 15--- Yes. I&amp;WD stand for Irrigation &amp; Waterways Department. </w:t>
            </w:r>
          </w:p>
          <w:p w:rsidR="00094828" w:rsidRDefault="00094828" w:rsidP="00472C14">
            <w:pPr>
              <w:spacing w:line="240" w:lineRule="auto"/>
              <w:jc w:val="both"/>
              <w:rPr>
                <w:rFonts w:ascii="NimbusSanL-Regu" w:hAnsi="NimbusSanL-Regu" w:cs="NimbusSanL-Regu"/>
                <w:color w:val="000000"/>
              </w:rPr>
            </w:pPr>
          </w:p>
          <w:p w:rsidR="00472C14" w:rsidRDefault="00472C14" w:rsidP="00472C14">
            <w:pPr>
              <w:spacing w:line="240" w:lineRule="auto"/>
              <w:jc w:val="both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Line 22</w:t>
            </w:r>
            <w:r w:rsidR="00DD7483">
              <w:rPr>
                <w:rFonts w:ascii="NimbusSanL-Regu" w:hAnsi="NimbusSanL-Regu" w:cs="NimbusSanL-Regu"/>
                <w:color w:val="000000"/>
              </w:rPr>
              <w:t>—monthly discharge data</w:t>
            </w:r>
          </w:p>
          <w:p w:rsidR="00472C14" w:rsidRPr="007941FE" w:rsidRDefault="00AC425A" w:rsidP="00472C14">
            <w:pPr>
              <w:spacing w:line="240" w:lineRule="auto"/>
              <w:jc w:val="both"/>
              <w:rPr>
                <w:rFonts w:ascii="NimbusSanL-Regu" w:hAnsi="NimbusSanL-Regu" w:cs="NimbusSanL-Regu"/>
              </w:rPr>
            </w:pPr>
            <w:r>
              <w:rPr>
                <w:rFonts w:ascii="NimbusSanL-Regu" w:hAnsi="NimbusSanL-Regu" w:cs="NimbusSanL-Regu"/>
              </w:rPr>
              <w:t>Available d</w:t>
            </w:r>
            <w:r w:rsidR="00DD7483" w:rsidRPr="00DD7483">
              <w:rPr>
                <w:rFonts w:ascii="NimbusSanL-Regu" w:hAnsi="NimbusSanL-Regu" w:cs="NimbusSanL-Regu"/>
              </w:rPr>
              <w:t xml:space="preserve">ata in a table format has been provided </w:t>
            </w:r>
            <w:r w:rsidR="005374A7" w:rsidRPr="007941FE">
              <w:rPr>
                <w:rFonts w:ascii="NimbusSanL-Regu" w:hAnsi="NimbusSanL-Regu" w:cs="NimbusSanL-Regu"/>
              </w:rPr>
              <w:t>(see Annexure-III</w:t>
            </w:r>
            <w:r w:rsidR="00DD7483" w:rsidRPr="007941FE">
              <w:rPr>
                <w:rFonts w:ascii="NimbusSanL-Regu" w:hAnsi="NimbusSanL-Regu" w:cs="NimbusSanL-Regu"/>
              </w:rPr>
              <w:t>)</w:t>
            </w:r>
          </w:p>
          <w:p w:rsidR="00472C14" w:rsidRDefault="00472C14" w:rsidP="00472C14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AC425A" w:rsidRDefault="00AC425A" w:rsidP="00472C14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AC425A" w:rsidRDefault="00AC425A" w:rsidP="00472C14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814FA3" w:rsidRDefault="00814FA3" w:rsidP="0081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1379,</w:t>
            </w:r>
          </w:p>
          <w:p w:rsidR="00AC425A" w:rsidRPr="00064B79" w:rsidRDefault="00814FA3" w:rsidP="00814FA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Fig. 2: </w:t>
            </w:r>
            <w:r w:rsidR="00AC425A" w:rsidRPr="00064B79">
              <w:rPr>
                <w:rFonts w:ascii="Arial" w:hAnsi="Arial" w:cs="Arial"/>
              </w:rPr>
              <w:t>Annexure</w:t>
            </w:r>
            <w:r w:rsidR="005374A7" w:rsidRPr="00064B79">
              <w:rPr>
                <w:rFonts w:ascii="Arial" w:hAnsi="Arial" w:cs="Arial"/>
              </w:rPr>
              <w:t>-IV</w:t>
            </w:r>
          </w:p>
          <w:p w:rsidR="00AC425A" w:rsidRPr="000E722B" w:rsidRDefault="00AC425A" w:rsidP="00472C14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B63A7C" w:rsidRPr="000E722B" w:rsidTr="001C534D">
        <w:trPr>
          <w:trHeight w:val="1187"/>
        </w:trPr>
        <w:tc>
          <w:tcPr>
            <w:tcW w:w="4428" w:type="dxa"/>
          </w:tcPr>
          <w:p w:rsidR="003C12E1" w:rsidRDefault="003C12E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lastRenderedPageBreak/>
              <w:t>Page 1380,</w:t>
            </w:r>
          </w:p>
          <w:p w:rsidR="003C12E1" w:rsidRDefault="003C12E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Line 4, ‘command area’, is this referring to the ‘study area’?</w:t>
            </w:r>
          </w:p>
          <w:p w:rsidR="001F66EB" w:rsidRDefault="001F66EB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1F66EB" w:rsidRDefault="001F66EB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1F66EB" w:rsidRDefault="001F66EB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3C12E1" w:rsidRDefault="003C12E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Line 24, 19.38Mm3, is this a monthly or annual figure? Please specify.</w:t>
            </w:r>
          </w:p>
          <w:p w:rsidR="001B0E5D" w:rsidRDefault="001B0E5D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3C12E1" w:rsidRDefault="003C12E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1381,</w:t>
            </w:r>
          </w:p>
          <w:p w:rsidR="003C12E1" w:rsidRDefault="003C12E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Line 15, The Reservoir storage table should be </w:t>
            </w:r>
            <w:proofErr w:type="spellStart"/>
            <w:r>
              <w:rPr>
                <w:rFonts w:ascii="NimbusSanL-Regu" w:hAnsi="NimbusSanL-Regu" w:cs="NimbusSanL-Regu"/>
                <w:color w:val="000000"/>
              </w:rPr>
              <w:t>labelled</w:t>
            </w:r>
            <w:proofErr w:type="spellEnd"/>
            <w:r>
              <w:rPr>
                <w:rFonts w:ascii="NimbusSanL-Regu" w:hAnsi="NimbusSanL-Regu" w:cs="NimbusSanL-Regu"/>
                <w:color w:val="000000"/>
              </w:rPr>
              <w:t xml:space="preserve"> as a table. What is ‘ham’?</w:t>
            </w:r>
          </w:p>
          <w:p w:rsidR="00E01B2A" w:rsidRDefault="00E01B2A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1A7B71" w:rsidRDefault="001A7B7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3C12E1" w:rsidRDefault="003C12E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Line 18, ‘If this process is considered stationary’ Can you comment on impact of climate</w:t>
            </w:r>
            <w:r w:rsidR="00E01B2A">
              <w:rPr>
                <w:rFonts w:ascii="NimbusSanL-Regu" w:hAnsi="NimbusSanL-Regu" w:cs="NimbusSanL-Regu"/>
                <w:color w:val="000000"/>
              </w:rPr>
              <w:t xml:space="preserve"> </w:t>
            </w:r>
            <w:r>
              <w:rPr>
                <w:rFonts w:ascii="NimbusSanL-Regu" w:hAnsi="NimbusSanL-Regu" w:cs="NimbusSanL-Regu"/>
                <w:color w:val="000000"/>
              </w:rPr>
              <w:t>change or variability on the projected stream flow? Is the study area susceptible to</w:t>
            </w:r>
            <w:r w:rsidR="00B15167">
              <w:rPr>
                <w:rFonts w:ascii="NimbusSanL-Regu" w:hAnsi="NimbusSanL-Regu" w:cs="NimbusSanL-Regu"/>
                <w:color w:val="000000"/>
              </w:rPr>
              <w:t xml:space="preserve"> </w:t>
            </w:r>
            <w:r>
              <w:rPr>
                <w:rFonts w:ascii="NimbusSanL-Regu" w:hAnsi="NimbusSanL-Regu" w:cs="NimbusSanL-Regu"/>
                <w:color w:val="000000"/>
              </w:rPr>
              <w:t>climate change or variability in the next 50 years or the life time of the reservoir project?</w:t>
            </w:r>
          </w:p>
          <w:p w:rsidR="00961721" w:rsidRDefault="0096172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3C12E1" w:rsidRDefault="003C12E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1383, The 12-year historical record is short and insufficient to draw the statistical</w:t>
            </w:r>
          </w:p>
          <w:p w:rsidR="003C12E1" w:rsidRDefault="003C12E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proofErr w:type="gramStart"/>
            <w:r>
              <w:rPr>
                <w:rFonts w:ascii="NimbusSanL-Regu" w:hAnsi="NimbusSanL-Regu" w:cs="NimbusSanL-Regu"/>
                <w:color w:val="000000"/>
              </w:rPr>
              <w:t>mean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and SD. Under the condition of short historical record, one </w:t>
            </w:r>
            <w:proofErr w:type="gramStart"/>
            <w:r>
              <w:rPr>
                <w:rFonts w:ascii="NimbusSanL-Regu" w:hAnsi="NimbusSanL-Regu" w:cs="NimbusSanL-Regu"/>
                <w:color w:val="000000"/>
              </w:rPr>
              <w:t>needs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to bear in mind</w:t>
            </w:r>
            <w:r w:rsidR="00961721">
              <w:rPr>
                <w:rFonts w:ascii="NimbusSanL-Regu" w:hAnsi="NimbusSanL-Regu" w:cs="NimbusSanL-Regu"/>
                <w:color w:val="000000"/>
              </w:rPr>
              <w:t xml:space="preserve"> </w:t>
            </w:r>
            <w:r>
              <w:rPr>
                <w:rFonts w:ascii="NimbusSanL-Regu" w:hAnsi="NimbusSanL-Regu" w:cs="NimbusSanL-Regu"/>
                <w:color w:val="000000"/>
              </w:rPr>
              <w:t>that the conclusion the study is drawn upon is compromised.</w:t>
            </w:r>
          </w:p>
          <w:p w:rsidR="003C12E1" w:rsidRDefault="003C12E1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Bold" w:hAnsi="NimbusSanL-Bold" w:cs="NimbusSanL-Bold"/>
                <w:color w:val="000000"/>
                <w:sz w:val="20"/>
                <w:szCs w:val="20"/>
              </w:rPr>
            </w:pPr>
          </w:p>
          <w:p w:rsidR="007800F6" w:rsidRDefault="007800F6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1384, Line 13, ‘(436.09</w:t>
            </w:r>
            <w:r w:rsidR="009C5980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NimbusSanL-Regu" w:hAnsi="NimbusSanL-Regu" w:cs="NimbusSanL-Regu"/>
                <w:color w:val="000000"/>
              </w:rPr>
              <w:t>354.45)’, please explain the figure ‘354.45’.</w:t>
            </w:r>
          </w:p>
          <w:p w:rsidR="00B63A7C" w:rsidRPr="000E722B" w:rsidRDefault="00B63A7C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1B0E5D" w:rsidRPr="00CC6AA5" w:rsidRDefault="001F66EB" w:rsidP="0000798F">
            <w:pPr>
              <w:spacing w:line="240" w:lineRule="auto"/>
              <w:jc w:val="both"/>
              <w:rPr>
                <w:rFonts w:ascii="NimbusSanL-Regu" w:hAnsi="NimbusSanL-Regu" w:cs="NimbusSanL-Regu"/>
              </w:rPr>
            </w:pPr>
            <w:r>
              <w:rPr>
                <w:rFonts w:ascii="Arial" w:hAnsi="Arial" w:cs="Arial"/>
              </w:rPr>
              <w:t xml:space="preserve">Page </w:t>
            </w:r>
            <w:proofErr w:type="gramStart"/>
            <w:r>
              <w:rPr>
                <w:rFonts w:ascii="Arial" w:hAnsi="Arial" w:cs="Arial"/>
              </w:rPr>
              <w:t xml:space="preserve">1380  </w:t>
            </w:r>
            <w:r>
              <w:rPr>
                <w:rFonts w:ascii="NimbusSanL-Regu" w:hAnsi="NimbusSanL-Regu" w:cs="NimbusSanL-Regu"/>
                <w:color w:val="000000"/>
              </w:rPr>
              <w:t>Line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4, ‘command area’ is referring to area served by a Water Resource Project. </w:t>
            </w:r>
            <w:r w:rsidR="008A3516" w:rsidRPr="00CC6AA5">
              <w:rPr>
                <w:rFonts w:ascii="NimbusSanL-Regu" w:hAnsi="NimbusSanL-Regu" w:cs="NimbusSanL-Regu"/>
              </w:rPr>
              <w:t>It is part of the study area</w:t>
            </w:r>
          </w:p>
          <w:p w:rsidR="00CC6AA5" w:rsidRDefault="00CC6AA5" w:rsidP="0000798F">
            <w:pPr>
              <w:spacing w:line="240" w:lineRule="auto"/>
              <w:jc w:val="both"/>
              <w:rPr>
                <w:rFonts w:ascii="NimbusSanL-Regu" w:hAnsi="NimbusSanL-Regu" w:cs="NimbusSanL-Regu"/>
                <w:color w:val="000000"/>
              </w:rPr>
            </w:pPr>
          </w:p>
          <w:p w:rsidR="001B0E5D" w:rsidRDefault="001B0E5D" w:rsidP="0000798F">
            <w:pPr>
              <w:spacing w:line="240" w:lineRule="auto"/>
              <w:jc w:val="both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Line 24, 19.38Mm3, </w:t>
            </w:r>
            <w:r w:rsidRPr="00CC6AA5">
              <w:rPr>
                <w:rFonts w:ascii="NimbusSanL-Regu" w:hAnsi="NimbusSanL-Regu" w:cs="NimbusSanL-Regu"/>
              </w:rPr>
              <w:t>is monthly</w:t>
            </w:r>
            <w:r>
              <w:rPr>
                <w:rFonts w:ascii="NimbusSanL-Regu" w:hAnsi="NimbusSanL-Regu" w:cs="NimbusSanL-Regu"/>
                <w:color w:val="000000"/>
              </w:rPr>
              <w:t xml:space="preserve"> figure</w:t>
            </w:r>
          </w:p>
          <w:p w:rsidR="001B0E5D" w:rsidRDefault="001B0E5D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1B0E5D" w:rsidRDefault="001B0E5D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1381,</w:t>
            </w:r>
          </w:p>
          <w:p w:rsidR="001B0E5D" w:rsidRPr="001A7B71" w:rsidRDefault="001B0E5D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Line 15, The Reservoir storage table has </w:t>
            </w:r>
            <w:proofErr w:type="gramStart"/>
            <w:r>
              <w:rPr>
                <w:rFonts w:ascii="NimbusSanL-Regu" w:hAnsi="NimbusSanL-Regu" w:cs="NimbusSanL-Regu"/>
                <w:color w:val="000000"/>
              </w:rPr>
              <w:t xml:space="preserve">been  </w:t>
            </w:r>
            <w:proofErr w:type="spellStart"/>
            <w:r>
              <w:rPr>
                <w:rFonts w:ascii="NimbusSanL-Regu" w:hAnsi="NimbusSanL-Regu" w:cs="NimbusSanL-Regu"/>
                <w:color w:val="000000"/>
              </w:rPr>
              <w:t>labelled</w:t>
            </w:r>
            <w:proofErr w:type="spellEnd"/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as a </w:t>
            </w:r>
            <w:r w:rsidRPr="001A7B71">
              <w:rPr>
                <w:rFonts w:ascii="NimbusSanL-Regu" w:hAnsi="NimbusSanL-Regu" w:cs="NimbusSanL-Regu"/>
              </w:rPr>
              <w:t>table. ( Annex</w:t>
            </w:r>
            <w:r w:rsidR="00CC6AA5" w:rsidRPr="001A7B71">
              <w:rPr>
                <w:rFonts w:ascii="NimbusSanL-Regu" w:hAnsi="NimbusSanL-Regu" w:cs="NimbusSanL-Regu"/>
              </w:rPr>
              <w:t>ure V</w:t>
            </w:r>
            <w:r w:rsidR="00E01B2A" w:rsidRPr="001A7B71">
              <w:rPr>
                <w:rFonts w:ascii="NimbusSanL-Regu" w:hAnsi="NimbusSanL-Regu" w:cs="NimbusSanL-Regu"/>
              </w:rPr>
              <w:t>)</w:t>
            </w:r>
          </w:p>
          <w:p w:rsidR="001B0E5D" w:rsidRPr="001A7B71" w:rsidRDefault="001B0E5D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</w:rPr>
            </w:pPr>
            <w:r w:rsidRPr="001A7B71">
              <w:rPr>
                <w:rFonts w:ascii="NimbusSanL-Regu" w:hAnsi="NimbusSanL-Regu" w:cs="NimbusSanL-Regu"/>
              </w:rPr>
              <w:t xml:space="preserve"> ‘ham’</w:t>
            </w:r>
            <w:r w:rsidR="00E01B2A" w:rsidRPr="001A7B71">
              <w:rPr>
                <w:rFonts w:ascii="NimbusSanL-Regu" w:hAnsi="NimbusSanL-Regu" w:cs="NimbusSanL-Regu"/>
              </w:rPr>
              <w:t xml:space="preserve"> is hectare </w:t>
            </w:r>
            <w:proofErr w:type="spellStart"/>
            <w:r w:rsidR="00E01B2A" w:rsidRPr="001A7B71">
              <w:rPr>
                <w:rFonts w:ascii="NimbusSanL-Regu" w:hAnsi="NimbusSanL-Regu" w:cs="NimbusSanL-Regu"/>
              </w:rPr>
              <w:t>metre</w:t>
            </w:r>
            <w:proofErr w:type="spellEnd"/>
          </w:p>
          <w:p w:rsidR="00E01B2A" w:rsidRPr="001A7B71" w:rsidRDefault="00E01B2A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</w:rPr>
            </w:pPr>
          </w:p>
          <w:p w:rsidR="00E01B2A" w:rsidRPr="001B0E5D" w:rsidRDefault="00E01B2A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FF0000"/>
              </w:rPr>
            </w:pPr>
          </w:p>
          <w:p w:rsidR="001B0E5D" w:rsidRPr="001A7B71" w:rsidRDefault="001A7B71" w:rsidP="0000798F">
            <w:pPr>
              <w:spacing w:line="240" w:lineRule="auto"/>
              <w:jc w:val="both"/>
              <w:rPr>
                <w:rFonts w:ascii="NimbusSanL-Regu" w:hAnsi="NimbusSanL-Regu" w:cs="NimbusSanL-Regu"/>
              </w:rPr>
            </w:pPr>
            <w:r w:rsidRPr="001A7B71">
              <w:rPr>
                <w:rFonts w:ascii="NimbusSanL-Regu" w:hAnsi="NimbusSanL-Regu" w:cs="NimbusSanL-Regu"/>
              </w:rPr>
              <w:t>Annexure VI</w:t>
            </w:r>
          </w:p>
          <w:p w:rsidR="00961721" w:rsidRDefault="00961721" w:rsidP="0000798F">
            <w:pPr>
              <w:spacing w:line="240" w:lineRule="auto"/>
              <w:jc w:val="both"/>
              <w:rPr>
                <w:rFonts w:ascii="NimbusSanL-Regu" w:hAnsi="NimbusSanL-Regu" w:cs="NimbusSanL-Regu"/>
                <w:color w:val="FF0000"/>
              </w:rPr>
            </w:pPr>
          </w:p>
          <w:p w:rsidR="00961721" w:rsidRDefault="00961721" w:rsidP="0000798F">
            <w:pPr>
              <w:spacing w:line="240" w:lineRule="auto"/>
              <w:jc w:val="both"/>
              <w:rPr>
                <w:rFonts w:ascii="NimbusSanL-Regu" w:hAnsi="NimbusSanL-Regu" w:cs="NimbusSanL-Regu"/>
                <w:color w:val="FF0000"/>
              </w:rPr>
            </w:pPr>
          </w:p>
          <w:p w:rsidR="00A440D1" w:rsidRDefault="00A440D1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A440D1" w:rsidRDefault="00A440D1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DD3674" w:rsidRDefault="00A440D1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7800F6">
              <w:rPr>
                <w:rFonts w:ascii="Arial" w:hAnsi="Arial" w:cs="Arial"/>
              </w:rPr>
              <w:t>e understand it.</w:t>
            </w:r>
          </w:p>
          <w:p w:rsidR="00DD3674" w:rsidRDefault="00DD3674" w:rsidP="0000798F">
            <w:pPr>
              <w:spacing w:line="240" w:lineRule="auto"/>
              <w:jc w:val="both"/>
              <w:rPr>
                <w:rFonts w:ascii="NimbusSanL-Regu" w:hAnsi="NimbusSanL-Regu" w:cs="NimbusSanL-Regu"/>
                <w:color w:val="000000"/>
              </w:rPr>
            </w:pPr>
          </w:p>
          <w:p w:rsidR="00A440D1" w:rsidRDefault="00A440D1" w:rsidP="0000798F">
            <w:pPr>
              <w:spacing w:line="240" w:lineRule="auto"/>
              <w:jc w:val="both"/>
              <w:rPr>
                <w:rFonts w:ascii="NimbusSanL-Regu" w:hAnsi="NimbusSanL-Regu" w:cs="NimbusSanL-Regu"/>
                <w:color w:val="000000"/>
              </w:rPr>
            </w:pPr>
          </w:p>
          <w:p w:rsidR="00126927" w:rsidRDefault="00DD3674" w:rsidP="0000798F">
            <w:pPr>
              <w:spacing w:line="240" w:lineRule="auto"/>
              <w:jc w:val="both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1384, Line 13</w:t>
            </w:r>
          </w:p>
          <w:p w:rsidR="006608F9" w:rsidRPr="006608F9" w:rsidRDefault="00126927" w:rsidP="006608F9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354.45 </w:t>
            </w:r>
            <w:r w:rsidR="006608F9">
              <w:rPr>
                <w:rFonts w:ascii="NimbusSanL-Regu" w:hAnsi="NimbusSanL-Regu" w:cs="NimbusSanL-Regu"/>
                <w:color w:val="000000"/>
              </w:rPr>
              <w:t>Km</w:t>
            </w:r>
            <w:r w:rsidR="006608F9" w:rsidRPr="006608F9">
              <w:rPr>
                <w:rFonts w:ascii="NimbusSanL-Regu" w:hAnsi="NimbusSanL-Regu" w:cs="NimbusSanL-Regu"/>
                <w:color w:val="000000"/>
                <w:vertAlign w:val="superscript"/>
              </w:rPr>
              <w:t>2</w:t>
            </w:r>
            <w:r w:rsidR="006608F9">
              <w:rPr>
                <w:rFonts w:ascii="NimbusSanL-Regu" w:hAnsi="NimbusSanL-Regu" w:cs="NimbusSanL-Regu"/>
                <w:color w:val="000000"/>
              </w:rPr>
              <w:t xml:space="preserve"> is the existing cultivable land area</w:t>
            </w:r>
          </w:p>
          <w:p w:rsidR="00126927" w:rsidRPr="00126927" w:rsidRDefault="00126927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B63A7C" w:rsidRPr="000E722B" w:rsidTr="001C534D">
        <w:tc>
          <w:tcPr>
            <w:tcW w:w="4428" w:type="dxa"/>
          </w:tcPr>
          <w:p w:rsidR="00815F42" w:rsidRDefault="00815F42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15F42" w:rsidRDefault="00815F42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TECHNICAL CORRECTIONS: Please consider to rephrase or modify sentences listed</w:t>
            </w:r>
          </w:p>
          <w:p w:rsidR="00815F42" w:rsidRDefault="00815F42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as follows:</w:t>
            </w:r>
          </w:p>
          <w:p w:rsidR="00815F42" w:rsidRDefault="00815F42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1375, Line 18: are. Acres model (</w:t>
            </w:r>
            <w:proofErr w:type="spellStart"/>
            <w:r>
              <w:rPr>
                <w:rFonts w:ascii="NimbusSanL-Regu" w:hAnsi="NimbusSanL-Regu" w:cs="NimbusSanL-Regu"/>
                <w:color w:val="000000"/>
              </w:rPr>
              <w:t>Sigvaldson</w:t>
            </w:r>
            <w:proofErr w:type="spellEnd"/>
            <w:r>
              <w:rPr>
                <w:rFonts w:ascii="NimbusSanL-Regu" w:hAnsi="NimbusSanL-Regu" w:cs="NimbusSanL-Regu"/>
                <w:color w:val="000000"/>
              </w:rPr>
              <w:t>, 1976)</w:t>
            </w: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167BE3" w:rsidRDefault="00167BE3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167BE3" w:rsidRDefault="00167BE3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15F42" w:rsidRDefault="00815F42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1376, Line 14: areas of the Volta Basin, Ghana and Burkina Faso, Ghana.</w:t>
            </w: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9807C8" w:rsidRDefault="009807C8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7F1DDB" w:rsidRDefault="007F1DDB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15F42" w:rsidRDefault="00815F42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Page 1377, Line 22-24: Again it may also be noted that since its inception in 1938,</w:t>
            </w:r>
          </w:p>
          <w:p w:rsidR="00815F42" w:rsidRDefault="00815F42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Snyder’s method...</w:t>
            </w:r>
          </w:p>
          <w:p w:rsidR="0000798F" w:rsidRDefault="0000798F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00798F" w:rsidRDefault="0000798F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00798F" w:rsidRDefault="0000798F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00798F" w:rsidRDefault="0000798F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00798F" w:rsidRDefault="0000798F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00798F" w:rsidRDefault="0000798F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00798F" w:rsidRDefault="0000798F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00798F" w:rsidRDefault="0000798F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00798F" w:rsidRDefault="0000798F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15F42" w:rsidRPr="00CA4507" w:rsidRDefault="00815F42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</w:rPr>
            </w:pPr>
            <w:r>
              <w:rPr>
                <w:rFonts w:ascii="NimbusSanL-Regu" w:hAnsi="NimbusSanL-Regu" w:cs="NimbusSanL-Regu"/>
                <w:color w:val="000000"/>
              </w:rPr>
              <w:t xml:space="preserve">Page 1380, </w:t>
            </w:r>
            <w:r w:rsidRPr="00CA4507">
              <w:rPr>
                <w:rFonts w:ascii="NimbusSanL-Regu" w:hAnsi="NimbusSanL-Regu" w:cs="NimbusSanL-Regu"/>
              </w:rPr>
              <w:t>Line 23-24, ‘Irrigation and Waterways Department, Govt. of West Bengal’,</w:t>
            </w:r>
          </w:p>
          <w:p w:rsidR="00815F42" w:rsidRDefault="00815F42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  <w:proofErr w:type="gramStart"/>
            <w:r>
              <w:rPr>
                <w:rFonts w:ascii="NimbusSanL-Regu" w:hAnsi="NimbusSanL-Regu" w:cs="NimbusSanL-Regu"/>
                <w:color w:val="000000"/>
              </w:rPr>
              <w:t>change</w:t>
            </w:r>
            <w:proofErr w:type="gramEnd"/>
            <w:r>
              <w:rPr>
                <w:rFonts w:ascii="NimbusSanL-Regu" w:hAnsi="NimbusSanL-Regu" w:cs="NimbusSanL-Regu"/>
                <w:color w:val="000000"/>
              </w:rPr>
              <w:t xml:space="preserve"> to ‘I&amp;WD, Govt. of West Bengal’.</w:t>
            </w:r>
          </w:p>
          <w:p w:rsidR="00167BE3" w:rsidRDefault="00167BE3" w:rsidP="0000798F">
            <w:pPr>
              <w:autoSpaceDE w:val="0"/>
              <w:autoSpaceDN w:val="0"/>
              <w:adjustRightInd w:val="0"/>
              <w:spacing w:after="0" w:line="240" w:lineRule="auto"/>
              <w:rPr>
                <w:rFonts w:ascii="NimbusSanL-Regu" w:hAnsi="NimbusSanL-Regu" w:cs="NimbusSanL-Regu"/>
                <w:color w:val="000000"/>
              </w:rPr>
            </w:pPr>
          </w:p>
          <w:p w:rsidR="00815F42" w:rsidRDefault="00815F42" w:rsidP="0000798F">
            <w:pPr>
              <w:spacing w:line="240" w:lineRule="auto"/>
            </w:pPr>
          </w:p>
          <w:p w:rsidR="00B63A7C" w:rsidRPr="000E722B" w:rsidRDefault="00B63A7C" w:rsidP="0000798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B63A7C" w:rsidRPr="00815FE5" w:rsidRDefault="00B63A7C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4C6E3F" w:rsidRPr="00815FE5" w:rsidRDefault="004C6E3F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7F1DDB" w:rsidRPr="00815FE5" w:rsidRDefault="007F1DDB" w:rsidP="0000798F">
            <w:pPr>
              <w:spacing w:line="240" w:lineRule="auto"/>
              <w:jc w:val="both"/>
              <w:rPr>
                <w:rFonts w:ascii="NimbusSanL-Regu" w:hAnsi="NimbusSanL-Regu" w:cs="NimbusSanL-Regu"/>
              </w:rPr>
            </w:pPr>
          </w:p>
          <w:p w:rsidR="004C6E3F" w:rsidRPr="00815FE5" w:rsidRDefault="004C6E3F" w:rsidP="0000798F">
            <w:pPr>
              <w:spacing w:line="240" w:lineRule="auto"/>
              <w:jc w:val="both"/>
              <w:rPr>
                <w:rFonts w:ascii="NimbusSanL-Regu" w:hAnsi="NimbusSanL-Regu" w:cs="NimbusSanL-Regu"/>
              </w:rPr>
            </w:pPr>
            <w:r w:rsidRPr="00815FE5">
              <w:rPr>
                <w:rFonts w:ascii="NimbusSanL-Regu" w:hAnsi="NimbusSanL-Regu" w:cs="NimbusSanL-Regu"/>
              </w:rPr>
              <w:t>Page 1375, Line 18</w:t>
            </w:r>
          </w:p>
          <w:p w:rsidR="009807C8" w:rsidRPr="00815FE5" w:rsidRDefault="008A3516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15FE5">
              <w:rPr>
                <w:rFonts w:ascii="Arial" w:hAnsi="Arial" w:cs="Arial"/>
              </w:rPr>
              <w:t>Acres model (</w:t>
            </w:r>
            <w:proofErr w:type="spellStart"/>
            <w:r w:rsidRPr="00815FE5">
              <w:rPr>
                <w:rFonts w:ascii="Arial" w:hAnsi="Arial" w:cs="Arial"/>
              </w:rPr>
              <w:t>Sigvaldson</w:t>
            </w:r>
            <w:proofErr w:type="spellEnd"/>
            <w:r w:rsidRPr="00815FE5">
              <w:rPr>
                <w:rFonts w:ascii="Arial" w:hAnsi="Arial" w:cs="Arial"/>
              </w:rPr>
              <w:t xml:space="preserve"> 1976), </w:t>
            </w:r>
            <w:proofErr w:type="spellStart"/>
            <w:r w:rsidRPr="00815FE5">
              <w:rPr>
                <w:rFonts w:ascii="Arial" w:hAnsi="Arial" w:cs="Arial"/>
              </w:rPr>
              <w:t>Streamflow</w:t>
            </w:r>
            <w:proofErr w:type="spellEnd"/>
            <w:r w:rsidRPr="00815FE5">
              <w:rPr>
                <w:rFonts w:ascii="Arial" w:hAnsi="Arial" w:cs="Arial"/>
              </w:rPr>
              <w:t xml:space="preserve"> Synthesis and Reservoir Regulation (SSARR) Model (USACE, </w:t>
            </w:r>
            <w:r w:rsidRPr="00815FE5">
              <w:rPr>
                <w:rFonts w:ascii="Arial" w:hAnsi="Arial" w:cs="Arial"/>
              </w:rPr>
              <w:lastRenderedPageBreak/>
              <w:t>1987), the Interactive River System Simulation (IRIS) MODEL (</w:t>
            </w:r>
            <w:proofErr w:type="spellStart"/>
            <w:r w:rsidRPr="00815FE5">
              <w:rPr>
                <w:rFonts w:ascii="Arial" w:hAnsi="Arial" w:cs="Arial"/>
              </w:rPr>
              <w:t>Loucks</w:t>
            </w:r>
            <w:proofErr w:type="spellEnd"/>
            <w:r w:rsidRPr="00815FE5">
              <w:rPr>
                <w:rFonts w:ascii="Arial" w:hAnsi="Arial" w:cs="Arial"/>
              </w:rPr>
              <w:t xml:space="preserve"> et al 1989) and the Water Right Analysis Package (WRAP) </w:t>
            </w:r>
            <w:r w:rsidR="004C6E3F" w:rsidRPr="00815FE5">
              <w:rPr>
                <w:rFonts w:ascii="Arial" w:hAnsi="Arial" w:cs="Arial"/>
              </w:rPr>
              <w:t>(</w:t>
            </w:r>
            <w:proofErr w:type="spellStart"/>
            <w:r w:rsidR="004C6E3F" w:rsidRPr="00815FE5">
              <w:rPr>
                <w:rFonts w:ascii="Arial" w:hAnsi="Arial" w:cs="Arial"/>
              </w:rPr>
              <w:t>Wurbs</w:t>
            </w:r>
            <w:proofErr w:type="spellEnd"/>
            <w:r w:rsidR="004C6E3F" w:rsidRPr="00815FE5">
              <w:rPr>
                <w:rFonts w:ascii="Arial" w:hAnsi="Arial" w:cs="Arial"/>
              </w:rPr>
              <w:t xml:space="preserve"> et al., 1993)</w:t>
            </w:r>
            <w:r w:rsidRPr="00815FE5">
              <w:rPr>
                <w:rFonts w:ascii="Arial" w:hAnsi="Arial" w:cs="Arial"/>
              </w:rPr>
              <w:t xml:space="preserve"> </w:t>
            </w:r>
            <w:r w:rsidR="004C6E3F" w:rsidRPr="00815FE5">
              <w:rPr>
                <w:rFonts w:ascii="Arial" w:hAnsi="Arial" w:cs="Arial"/>
              </w:rPr>
              <w:t>are s</w:t>
            </w:r>
            <w:r w:rsidRPr="00815FE5">
              <w:rPr>
                <w:rFonts w:ascii="Arial" w:hAnsi="Arial" w:cs="Arial"/>
              </w:rPr>
              <w:t>ome other well known simulation models</w:t>
            </w:r>
            <w:r w:rsidR="009807C8" w:rsidRPr="00815FE5">
              <w:rPr>
                <w:rFonts w:ascii="Arial" w:hAnsi="Arial" w:cs="Arial"/>
              </w:rPr>
              <w:t>.</w:t>
            </w:r>
            <w:r w:rsidRPr="00815FE5">
              <w:rPr>
                <w:rFonts w:ascii="Arial" w:hAnsi="Arial" w:cs="Arial"/>
              </w:rPr>
              <w:t xml:space="preserve"> </w:t>
            </w:r>
          </w:p>
          <w:p w:rsidR="009807C8" w:rsidRPr="00815FE5" w:rsidRDefault="009807C8" w:rsidP="0000798F">
            <w:pPr>
              <w:spacing w:line="240" w:lineRule="auto"/>
              <w:jc w:val="both"/>
              <w:rPr>
                <w:rFonts w:ascii="NimbusSanL-Regu" w:hAnsi="NimbusSanL-Regu" w:cs="NimbusSanL-Regu"/>
              </w:rPr>
            </w:pPr>
          </w:p>
          <w:p w:rsidR="009807C8" w:rsidRPr="00815FE5" w:rsidRDefault="009807C8" w:rsidP="0000798F">
            <w:pPr>
              <w:spacing w:line="240" w:lineRule="auto"/>
              <w:jc w:val="both"/>
              <w:rPr>
                <w:rFonts w:ascii="NimbusSanL-Regu" w:hAnsi="NimbusSanL-Regu" w:cs="NimbusSanL-Regu"/>
              </w:rPr>
            </w:pPr>
            <w:r w:rsidRPr="00815FE5">
              <w:rPr>
                <w:rFonts w:ascii="NimbusSanL-Regu" w:hAnsi="NimbusSanL-Regu" w:cs="NimbusSanL-Regu"/>
              </w:rPr>
              <w:t>Page 1376, Line 1</w:t>
            </w:r>
          </w:p>
          <w:p w:rsidR="00B63A7C" w:rsidRPr="00815FE5" w:rsidRDefault="009807C8" w:rsidP="0000798F">
            <w:pPr>
              <w:spacing w:line="240" w:lineRule="auto"/>
              <w:jc w:val="both"/>
              <w:rPr>
                <w:rFonts w:ascii="NimbusSanL-Regu" w:hAnsi="NimbusSanL-Regu" w:cs="NimbusSanL-Regu"/>
              </w:rPr>
            </w:pPr>
            <w:r w:rsidRPr="00815FE5">
              <w:rPr>
                <w:rFonts w:ascii="Arial" w:hAnsi="Arial" w:cs="Arial"/>
              </w:rPr>
              <w:t xml:space="preserve"> </w:t>
            </w:r>
            <w:proofErr w:type="spellStart"/>
            <w:r w:rsidRPr="00815FE5">
              <w:rPr>
                <w:rFonts w:ascii="Arial" w:hAnsi="Arial" w:cs="Arial"/>
              </w:rPr>
              <w:t>Liebe</w:t>
            </w:r>
            <w:proofErr w:type="spellEnd"/>
            <w:r w:rsidRPr="00815FE5">
              <w:rPr>
                <w:rFonts w:ascii="Arial" w:hAnsi="Arial" w:cs="Arial"/>
              </w:rPr>
              <w:t xml:space="preserve">, et al. (2007) </w:t>
            </w:r>
            <w:r w:rsidRPr="00815FE5">
              <w:rPr>
                <w:rFonts w:ascii="Arial" w:hAnsi="Arial" w:cs="Arial"/>
                <w:bCs/>
              </w:rPr>
              <w:t xml:space="preserve">studied the operation of Small Reservoir Project to improve water availability and economic development in small semi-arid regions </w:t>
            </w:r>
            <w:r w:rsidRPr="00815FE5">
              <w:rPr>
                <w:rFonts w:ascii="Arial" w:hAnsi="Arial" w:cs="Arial"/>
              </w:rPr>
              <w:t xml:space="preserve">of the Volta Basin, Ghana and Burkina Faso, </w:t>
            </w:r>
            <w:r w:rsidR="001A6CB3" w:rsidRPr="00815FE5">
              <w:rPr>
                <w:rFonts w:ascii="NimbusSanL-Regu" w:hAnsi="NimbusSanL-Regu" w:cs="NimbusSanL-Regu"/>
              </w:rPr>
              <w:t xml:space="preserve">West Africa </w:t>
            </w:r>
            <w:r w:rsidRPr="00815FE5">
              <w:rPr>
                <w:rFonts w:ascii="Arial" w:hAnsi="Arial" w:cs="Arial"/>
              </w:rPr>
              <w:t xml:space="preserve">. </w:t>
            </w:r>
          </w:p>
          <w:p w:rsidR="0000798F" w:rsidRPr="00815FE5" w:rsidRDefault="0000798F" w:rsidP="0000798F">
            <w:pPr>
              <w:spacing w:line="240" w:lineRule="auto"/>
              <w:jc w:val="both"/>
              <w:rPr>
                <w:rFonts w:ascii="NimbusSanL-Regu" w:hAnsi="NimbusSanL-Regu" w:cs="NimbusSanL-Regu"/>
              </w:rPr>
            </w:pPr>
            <w:r w:rsidRPr="00815FE5">
              <w:rPr>
                <w:rFonts w:ascii="NimbusSanL-Regu" w:hAnsi="NimbusSanL-Regu" w:cs="NimbusSanL-Regu"/>
              </w:rPr>
              <w:t>Page 1377, Line 22-24</w:t>
            </w:r>
          </w:p>
          <w:p w:rsidR="009807C8" w:rsidRPr="00815FE5" w:rsidRDefault="0000798F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15FE5">
              <w:rPr>
                <w:rFonts w:ascii="Arial" w:hAnsi="Arial" w:cs="Arial"/>
              </w:rPr>
              <w:t xml:space="preserve">Again it may also be noted that Snyder’s method of generation of unit hydrograph for </w:t>
            </w:r>
            <w:proofErr w:type="spellStart"/>
            <w:r w:rsidRPr="00815FE5">
              <w:rPr>
                <w:rFonts w:ascii="Arial" w:hAnsi="Arial" w:cs="Arial"/>
              </w:rPr>
              <w:t>ungauged</w:t>
            </w:r>
            <w:proofErr w:type="spellEnd"/>
            <w:r w:rsidRPr="00815FE5">
              <w:rPr>
                <w:rFonts w:ascii="Arial" w:hAnsi="Arial" w:cs="Arial"/>
              </w:rPr>
              <w:t xml:space="preserve"> catchments , </w:t>
            </w:r>
            <w:r w:rsidR="00D12799" w:rsidRPr="00815FE5">
              <w:rPr>
                <w:rFonts w:ascii="Arial" w:hAnsi="Arial" w:cs="Arial"/>
              </w:rPr>
              <w:t xml:space="preserve">since its </w:t>
            </w:r>
            <w:r w:rsidR="00D12799" w:rsidRPr="00815FE5">
              <w:rPr>
                <w:rFonts w:ascii="Arial" w:hAnsi="Arial" w:cs="Arial"/>
                <w:b/>
              </w:rPr>
              <w:t>promulgation</w:t>
            </w:r>
            <w:r w:rsidRPr="00815FE5">
              <w:rPr>
                <w:rFonts w:ascii="Arial" w:hAnsi="Arial" w:cs="Arial"/>
              </w:rPr>
              <w:t xml:space="preserve"> in 1938,  has been used by various researches worldwide (HEC-1 1968, </w:t>
            </w:r>
            <w:proofErr w:type="spellStart"/>
            <w:r w:rsidRPr="00815FE5">
              <w:rPr>
                <w:rFonts w:ascii="Arial" w:hAnsi="Arial" w:cs="Arial"/>
              </w:rPr>
              <w:t>Boggild</w:t>
            </w:r>
            <w:proofErr w:type="spellEnd"/>
            <w:r w:rsidRPr="00815FE5">
              <w:rPr>
                <w:rFonts w:ascii="Arial" w:hAnsi="Arial" w:cs="Arial"/>
              </w:rPr>
              <w:t xml:space="preserve"> et.al. 1999</w:t>
            </w:r>
            <w:r w:rsidRPr="00815FE5">
              <w:t xml:space="preserve">, </w:t>
            </w:r>
            <w:r w:rsidRPr="00815FE5">
              <w:rPr>
                <w:rFonts w:ascii="Arial" w:hAnsi="Arial" w:cs="Arial"/>
              </w:rPr>
              <w:t xml:space="preserve">HEC-HMS 2000, Das 2000, </w:t>
            </w:r>
            <w:proofErr w:type="spellStart"/>
            <w:r w:rsidRPr="00815FE5">
              <w:rPr>
                <w:rFonts w:ascii="Arial" w:hAnsi="Arial" w:cs="Arial"/>
              </w:rPr>
              <w:t>Atre</w:t>
            </w:r>
            <w:proofErr w:type="spellEnd"/>
            <w:r w:rsidRPr="00815FE5">
              <w:rPr>
                <w:rFonts w:ascii="Arial" w:hAnsi="Arial" w:cs="Arial"/>
              </w:rPr>
              <w:t xml:space="preserve"> et al 2005, </w:t>
            </w:r>
            <w:r w:rsidRPr="00815FE5">
              <w:rPr>
                <w:rFonts w:ascii="Arial" w:hAnsi="Arial" w:cs="Arial"/>
                <w:bCs/>
              </w:rPr>
              <w:t>Watershed Modeling System 2009</w:t>
            </w:r>
            <w:r w:rsidRPr="00815FE5">
              <w:rPr>
                <w:rFonts w:ascii="Arial" w:hAnsi="Arial" w:cs="Arial"/>
              </w:rPr>
              <w:t>)</w:t>
            </w:r>
          </w:p>
          <w:p w:rsidR="00D15441" w:rsidRPr="00815FE5" w:rsidRDefault="00D15441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CA4507" w:rsidRPr="00815FE5" w:rsidRDefault="00CA4507" w:rsidP="0000798F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15FE5">
              <w:rPr>
                <w:rFonts w:ascii="Arial" w:hAnsi="Arial" w:cs="Arial"/>
              </w:rPr>
              <w:t>It has been done</w:t>
            </w:r>
          </w:p>
        </w:tc>
      </w:tr>
    </w:tbl>
    <w:p w:rsidR="00A73E9B" w:rsidRDefault="00A73E9B" w:rsidP="0000798F">
      <w:pPr>
        <w:spacing w:line="240" w:lineRule="auto"/>
      </w:pPr>
    </w:p>
    <w:p w:rsidR="00C46CE2" w:rsidRDefault="00C46CE2" w:rsidP="0000798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46CE2" w:rsidRDefault="00C46CE2" w:rsidP="0000798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46CE2" w:rsidRDefault="00C46CE2" w:rsidP="0000798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46CE2" w:rsidRDefault="00C46CE2" w:rsidP="0000798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441" w:rsidRDefault="00D15441" w:rsidP="0000798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46CE2" w:rsidRDefault="00C46CE2" w:rsidP="0000798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46CE2" w:rsidRDefault="00C46CE2" w:rsidP="0000798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7483" w:rsidRDefault="00DD7483" w:rsidP="0000798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Annexure I</w:t>
      </w:r>
    </w:p>
    <w:p w:rsidR="005374A7" w:rsidRPr="005374A7" w:rsidRDefault="005374A7" w:rsidP="005374A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A7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5374A7">
        <w:rPr>
          <w:rFonts w:ascii="Times New Roman" w:eastAsia="Times New Roman" w:hAnsi="Times New Roman" w:cs="Times New Roman"/>
          <w:sz w:val="24"/>
          <w:szCs w:val="24"/>
        </w:rPr>
        <w:t>Dwarakeswar</w:t>
      </w:r>
      <w:proofErr w:type="spellEnd"/>
      <w:r w:rsidRPr="005374A7">
        <w:rPr>
          <w:rFonts w:ascii="Times New Roman" w:eastAsia="Times New Roman" w:hAnsi="Times New Roman" w:cs="Times New Roman"/>
          <w:sz w:val="24"/>
          <w:szCs w:val="24"/>
        </w:rPr>
        <w:t xml:space="preserve"> basin is characterized by a dry tropical climate with a very hot summer and a very cold winter. The cold weather starts from middle of November and lasts till end of February. The summer period lasts from March to May. </w:t>
      </w:r>
      <w:r w:rsidR="002C0BC3" w:rsidRPr="005374A7">
        <w:rPr>
          <w:rFonts w:ascii="Times New Roman" w:eastAsia="Times New Roman" w:hAnsi="Times New Roman" w:cs="Times New Roman"/>
          <w:sz w:val="24"/>
          <w:szCs w:val="24"/>
        </w:rPr>
        <w:t>The average annual rainfall has been found out to be 143.42 cm.</w:t>
      </w:r>
      <w:r w:rsidR="002C0B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74A7">
        <w:rPr>
          <w:rFonts w:ascii="Times New Roman" w:eastAsia="Times New Roman" w:hAnsi="Times New Roman" w:cs="Times New Roman"/>
          <w:sz w:val="24"/>
          <w:szCs w:val="24"/>
        </w:rPr>
        <w:t>The South-W</w:t>
      </w:r>
      <w:r w:rsidR="006E088C">
        <w:rPr>
          <w:rFonts w:ascii="Times New Roman" w:eastAsia="Times New Roman" w:hAnsi="Times New Roman" w:cs="Times New Roman"/>
          <w:sz w:val="24"/>
          <w:szCs w:val="24"/>
        </w:rPr>
        <w:t>est monsoon rainfall occurs during</w:t>
      </w:r>
      <w:r w:rsidRPr="005374A7">
        <w:rPr>
          <w:rFonts w:ascii="Times New Roman" w:eastAsia="Times New Roman" w:hAnsi="Times New Roman" w:cs="Times New Roman"/>
          <w:sz w:val="24"/>
          <w:szCs w:val="24"/>
        </w:rPr>
        <w:t xml:space="preserve"> middle of June to September</w:t>
      </w:r>
      <w:r w:rsidR="00F020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D5A0E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374A7">
        <w:rPr>
          <w:rFonts w:ascii="Times New Roman" w:eastAsia="Times New Roman" w:hAnsi="Times New Roman" w:cs="Times New Roman"/>
          <w:sz w:val="24"/>
          <w:szCs w:val="24"/>
        </w:rPr>
        <w:t xml:space="preserve">he hottest month is May with mean maximum temperature of about 38°C. The coldest month is January having </w:t>
      </w:r>
      <w:proofErr w:type="gramStart"/>
      <w:r w:rsidRPr="005374A7">
        <w:rPr>
          <w:rFonts w:ascii="Times New Roman" w:eastAsia="Times New Roman" w:hAnsi="Times New Roman" w:cs="Times New Roman"/>
          <w:sz w:val="24"/>
          <w:szCs w:val="24"/>
        </w:rPr>
        <w:t>mean</w:t>
      </w:r>
      <w:proofErr w:type="gramEnd"/>
      <w:r w:rsidRPr="005374A7">
        <w:rPr>
          <w:rFonts w:ascii="Times New Roman" w:eastAsia="Times New Roman" w:hAnsi="Times New Roman" w:cs="Times New Roman"/>
          <w:sz w:val="24"/>
          <w:szCs w:val="24"/>
        </w:rPr>
        <w:t xml:space="preserve"> minimum temperature of 10°C. The </w:t>
      </w:r>
      <w:r w:rsidR="00AD3B43">
        <w:rPr>
          <w:rFonts w:ascii="Times New Roman" w:eastAsia="Times New Roman" w:hAnsi="Times New Roman" w:cs="Times New Roman"/>
          <w:sz w:val="24"/>
          <w:szCs w:val="24"/>
        </w:rPr>
        <w:t xml:space="preserve">maximum monthly evaporation (about 175 mm) has been observed in the month of May and minimum monthly evaporation (about 65 mm) has been reported in the month of January. </w:t>
      </w:r>
    </w:p>
    <w:p w:rsidR="005374A7" w:rsidRDefault="005374A7" w:rsidP="005374A7">
      <w:pPr>
        <w:spacing w:line="360" w:lineRule="auto"/>
        <w:jc w:val="both"/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60D3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B4631" w:rsidRDefault="006B4631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B4631" w:rsidRDefault="006B4631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441" w:rsidRDefault="00D15441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374A7" w:rsidRDefault="005374A7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Annexure II</w:t>
      </w:r>
    </w:p>
    <w:p w:rsidR="005374A7" w:rsidRDefault="001660D3" w:rsidP="005374A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5943600" cy="4390088"/>
            <wp:effectExtent l="19050" t="0" r="0" b="0"/>
            <wp:docPr id="1" name="Picture 1" descr="G:\Paper1\2010-04-17_211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Paper1\2010-04-17_21135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0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4A7" w:rsidRDefault="001660D3" w:rsidP="00537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0D3">
        <w:rPr>
          <w:rFonts w:ascii="Times New Roman" w:hAnsi="Times New Roman" w:cs="Times New Roman"/>
          <w:sz w:val="24"/>
          <w:szCs w:val="24"/>
        </w:rPr>
        <w:t>Source:</w:t>
      </w:r>
      <w:r>
        <w:rPr>
          <w:rFonts w:ascii="Times New Roman" w:hAnsi="Times New Roman" w:cs="Times New Roman"/>
          <w:sz w:val="24"/>
          <w:szCs w:val="24"/>
        </w:rPr>
        <w:t xml:space="preserve"> Google Earth </w:t>
      </w:r>
    </w:p>
    <w:p w:rsidR="00DF7E83" w:rsidRDefault="00DF7E83" w:rsidP="00537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E83" w:rsidRDefault="00DF7E83" w:rsidP="00537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E83" w:rsidRDefault="00DF7E83" w:rsidP="00537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E83" w:rsidRDefault="00DF7E83" w:rsidP="00537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E83" w:rsidRDefault="00DF7E83" w:rsidP="00537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E83" w:rsidRDefault="00DF7E83" w:rsidP="00537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E83" w:rsidRDefault="00DF7E83" w:rsidP="00537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E83" w:rsidRDefault="00DF7E83" w:rsidP="005374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E83" w:rsidRPr="00815FE5" w:rsidRDefault="00DF7E83" w:rsidP="00DF7E83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15FE5">
        <w:rPr>
          <w:rFonts w:ascii="Arial" w:hAnsi="Arial" w:cs="Arial"/>
          <w:b/>
          <w:sz w:val="24"/>
          <w:szCs w:val="24"/>
        </w:rPr>
        <w:lastRenderedPageBreak/>
        <w:t>Annexure III</w:t>
      </w:r>
    </w:p>
    <w:p w:rsidR="008921AE" w:rsidRPr="00A12A04" w:rsidRDefault="00A12A04" w:rsidP="0000798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815FE5">
        <w:rPr>
          <w:rFonts w:ascii="Arial" w:hAnsi="Arial" w:cs="Arial"/>
          <w:b/>
          <w:sz w:val="24"/>
          <w:szCs w:val="24"/>
        </w:rPr>
        <w:t xml:space="preserve">Table   </w:t>
      </w:r>
      <w:r w:rsidR="00EE3053" w:rsidRPr="00815FE5">
        <w:rPr>
          <w:rFonts w:ascii="Arial" w:hAnsi="Arial" w:cs="Arial"/>
          <w:b/>
          <w:sz w:val="24"/>
          <w:szCs w:val="24"/>
        </w:rPr>
        <w:t>1</w:t>
      </w:r>
      <w:r w:rsidRPr="00815FE5">
        <w:rPr>
          <w:rFonts w:ascii="Arial" w:hAnsi="Arial" w:cs="Arial"/>
          <w:b/>
          <w:sz w:val="24"/>
          <w:szCs w:val="24"/>
        </w:rPr>
        <w:t xml:space="preserve">              </w:t>
      </w:r>
      <w:r w:rsidR="00DD7483" w:rsidRPr="00815FE5">
        <w:rPr>
          <w:rFonts w:ascii="Arial" w:hAnsi="Arial" w:cs="Arial"/>
          <w:b/>
          <w:sz w:val="24"/>
          <w:szCs w:val="24"/>
        </w:rPr>
        <w:t>Details</w:t>
      </w:r>
      <w:r w:rsidR="00DD7483">
        <w:rPr>
          <w:rFonts w:ascii="Arial" w:hAnsi="Arial" w:cs="Arial"/>
          <w:b/>
          <w:sz w:val="24"/>
          <w:szCs w:val="24"/>
        </w:rPr>
        <w:t xml:space="preserve"> </w:t>
      </w:r>
      <w:r w:rsidR="00305067">
        <w:rPr>
          <w:rFonts w:ascii="Arial" w:hAnsi="Arial" w:cs="Arial"/>
          <w:b/>
          <w:sz w:val="24"/>
          <w:szCs w:val="24"/>
        </w:rPr>
        <w:t>of data</w:t>
      </w:r>
      <w:r w:rsidR="00DD7483">
        <w:rPr>
          <w:rFonts w:ascii="Arial" w:hAnsi="Arial" w:cs="Arial"/>
          <w:b/>
          <w:sz w:val="24"/>
          <w:szCs w:val="24"/>
        </w:rPr>
        <w:t xml:space="preserve"> used 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921AE" w:rsidTr="008921AE">
        <w:tc>
          <w:tcPr>
            <w:tcW w:w="2394" w:type="dxa"/>
          </w:tcPr>
          <w:p w:rsidR="008921AE" w:rsidRDefault="00DC460C" w:rsidP="007941FE">
            <w:pPr>
              <w:autoSpaceDE w:val="0"/>
              <w:autoSpaceDN w:val="0"/>
              <w:adjustRightInd w:val="0"/>
            </w:pPr>
            <w:r>
              <w:rPr>
                <w:rFonts w:ascii="NimbusSanL-Regu" w:hAnsi="NimbusSanL-Regu" w:cs="NimbusSanL-Regu"/>
                <w:color w:val="000000"/>
              </w:rPr>
              <w:t xml:space="preserve">data item </w:t>
            </w:r>
          </w:p>
        </w:tc>
        <w:tc>
          <w:tcPr>
            <w:tcW w:w="2394" w:type="dxa"/>
          </w:tcPr>
          <w:p w:rsidR="008921AE" w:rsidRDefault="00DC460C" w:rsidP="0000798F">
            <w:r>
              <w:rPr>
                <w:rFonts w:ascii="NimbusSanL-Regu" w:hAnsi="NimbusSanL-Regu" w:cs="NimbusSanL-Regu"/>
                <w:color w:val="000000"/>
              </w:rPr>
              <w:t>source of data</w:t>
            </w:r>
          </w:p>
        </w:tc>
        <w:tc>
          <w:tcPr>
            <w:tcW w:w="2394" w:type="dxa"/>
          </w:tcPr>
          <w:p w:rsidR="008921AE" w:rsidRDefault="00DC460C" w:rsidP="0000798F">
            <w:r>
              <w:rPr>
                <w:rFonts w:ascii="NimbusSanL-Regu" w:hAnsi="NimbusSanL-Regu" w:cs="NimbusSanL-Regu"/>
                <w:color w:val="000000"/>
              </w:rPr>
              <w:t>availability</w:t>
            </w:r>
          </w:p>
        </w:tc>
        <w:tc>
          <w:tcPr>
            <w:tcW w:w="2394" w:type="dxa"/>
          </w:tcPr>
          <w:p w:rsidR="00DC460C" w:rsidRDefault="00DC460C" w:rsidP="0000798F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</w:rPr>
            </w:pPr>
            <w:r>
              <w:rPr>
                <w:rFonts w:ascii="NimbusSanL-Regu" w:hAnsi="NimbusSanL-Regu" w:cs="NimbusSanL-Regu"/>
                <w:color w:val="000000"/>
              </w:rPr>
              <w:t>temporal scale</w:t>
            </w:r>
          </w:p>
          <w:p w:rsidR="008921AE" w:rsidRDefault="008921AE" w:rsidP="0000798F"/>
        </w:tc>
      </w:tr>
      <w:tr w:rsidR="008921AE" w:rsidTr="008921AE">
        <w:tc>
          <w:tcPr>
            <w:tcW w:w="2394" w:type="dxa"/>
          </w:tcPr>
          <w:p w:rsidR="00E0463F" w:rsidRPr="00F34A35" w:rsidRDefault="00DC460C" w:rsidP="0000798F">
            <w:pPr>
              <w:jc w:val="both"/>
              <w:rPr>
                <w:rFonts w:ascii="Arial" w:hAnsi="Arial" w:cs="Arial"/>
              </w:rPr>
            </w:pPr>
            <w:r w:rsidRPr="00F34A35">
              <w:rPr>
                <w:rFonts w:ascii="Arial" w:hAnsi="Arial" w:cs="Arial"/>
              </w:rPr>
              <w:t xml:space="preserve">rainfall </w:t>
            </w:r>
            <w:r w:rsidR="00573318">
              <w:rPr>
                <w:rFonts w:ascii="Arial" w:hAnsi="Arial" w:cs="Arial"/>
              </w:rPr>
              <w:t xml:space="preserve">for </w:t>
            </w:r>
            <w:proofErr w:type="spellStart"/>
            <w:r w:rsidR="00573318">
              <w:rPr>
                <w:rFonts w:ascii="Arial" w:hAnsi="Arial" w:cs="Arial"/>
              </w:rPr>
              <w:t>raingaug</w:t>
            </w:r>
            <w:r w:rsidR="007941FE">
              <w:rPr>
                <w:rFonts w:ascii="Arial" w:hAnsi="Arial" w:cs="Arial"/>
              </w:rPr>
              <w:t>e</w:t>
            </w:r>
            <w:proofErr w:type="spellEnd"/>
            <w:r w:rsidR="00573318">
              <w:rPr>
                <w:rFonts w:ascii="Arial" w:hAnsi="Arial" w:cs="Arial"/>
              </w:rPr>
              <w:t xml:space="preserve"> stations </w:t>
            </w:r>
            <w:proofErr w:type="spellStart"/>
            <w:r w:rsidR="00573318">
              <w:rPr>
                <w:rFonts w:ascii="Arial" w:hAnsi="Arial" w:cs="Arial"/>
              </w:rPr>
              <w:t>viz.,</w:t>
            </w:r>
            <w:r w:rsidR="00E0463F" w:rsidRPr="00F34A35">
              <w:rPr>
                <w:rFonts w:ascii="Arial" w:hAnsi="Arial" w:cs="Arial"/>
              </w:rPr>
              <w:t>Hura</w:t>
            </w:r>
            <w:proofErr w:type="spellEnd"/>
            <w:r w:rsidR="00E0463F" w:rsidRPr="00F34A35">
              <w:rPr>
                <w:rFonts w:ascii="Arial" w:hAnsi="Arial" w:cs="Arial"/>
              </w:rPr>
              <w:t xml:space="preserve">, </w:t>
            </w:r>
            <w:proofErr w:type="spellStart"/>
            <w:r w:rsidR="00E0463F" w:rsidRPr="00F34A35">
              <w:rPr>
                <w:rFonts w:ascii="Arial" w:hAnsi="Arial" w:cs="Arial"/>
              </w:rPr>
              <w:t>Kashipur</w:t>
            </w:r>
            <w:proofErr w:type="spellEnd"/>
            <w:r w:rsidR="00E0463F" w:rsidRPr="00F34A35">
              <w:rPr>
                <w:rFonts w:ascii="Arial" w:hAnsi="Arial" w:cs="Arial"/>
              </w:rPr>
              <w:t xml:space="preserve">, </w:t>
            </w:r>
            <w:proofErr w:type="spellStart"/>
            <w:r w:rsidR="00E0463F" w:rsidRPr="00F34A35">
              <w:rPr>
                <w:rFonts w:ascii="Arial" w:hAnsi="Arial" w:cs="Arial"/>
              </w:rPr>
              <w:t>Susunia</w:t>
            </w:r>
            <w:proofErr w:type="spellEnd"/>
            <w:r w:rsidR="00E0463F" w:rsidRPr="00F34A35">
              <w:rPr>
                <w:rFonts w:ascii="Arial" w:hAnsi="Arial" w:cs="Arial"/>
              </w:rPr>
              <w:t xml:space="preserve">, </w:t>
            </w:r>
            <w:proofErr w:type="spellStart"/>
            <w:r w:rsidR="00E0463F" w:rsidRPr="00F34A35">
              <w:rPr>
                <w:rFonts w:ascii="Arial" w:hAnsi="Arial" w:cs="Arial"/>
              </w:rPr>
              <w:t>Saltora</w:t>
            </w:r>
            <w:proofErr w:type="spellEnd"/>
            <w:r w:rsidR="00E0463F" w:rsidRPr="00F34A35">
              <w:rPr>
                <w:rFonts w:ascii="Arial" w:hAnsi="Arial" w:cs="Arial"/>
              </w:rPr>
              <w:t xml:space="preserve"> </w:t>
            </w:r>
          </w:p>
          <w:p w:rsidR="008921AE" w:rsidRDefault="008921AE" w:rsidP="0000798F"/>
        </w:tc>
        <w:tc>
          <w:tcPr>
            <w:tcW w:w="2394" w:type="dxa"/>
          </w:tcPr>
          <w:p w:rsidR="008921AE" w:rsidRDefault="001560FA" w:rsidP="0000798F">
            <w:r w:rsidRPr="00F34A35">
              <w:rPr>
                <w:rFonts w:ascii="Arial" w:hAnsi="Arial" w:cs="Arial"/>
              </w:rPr>
              <w:t xml:space="preserve">Investigation and Planning Division, I&amp;WD, Govt. of West Bengal, </w:t>
            </w:r>
            <w:proofErr w:type="spellStart"/>
            <w:r w:rsidRPr="00F34A35">
              <w:rPr>
                <w:rFonts w:ascii="Arial" w:hAnsi="Arial" w:cs="Arial"/>
              </w:rPr>
              <w:t>Purulia</w:t>
            </w:r>
            <w:proofErr w:type="spellEnd"/>
          </w:p>
        </w:tc>
        <w:tc>
          <w:tcPr>
            <w:tcW w:w="2394" w:type="dxa"/>
          </w:tcPr>
          <w:p w:rsidR="008921AE" w:rsidRDefault="001560FA" w:rsidP="0000798F">
            <w:pPr>
              <w:rPr>
                <w:rFonts w:ascii="Arial" w:hAnsi="Arial" w:cs="Arial"/>
              </w:rPr>
            </w:pPr>
            <w:r w:rsidRPr="00F34A35">
              <w:rPr>
                <w:rFonts w:ascii="Arial" w:hAnsi="Arial" w:cs="Arial"/>
              </w:rPr>
              <w:t>eleven years (1990-2000)</w:t>
            </w:r>
          </w:p>
          <w:p w:rsidR="00573318" w:rsidRDefault="00573318" w:rsidP="0000798F"/>
        </w:tc>
        <w:tc>
          <w:tcPr>
            <w:tcW w:w="2394" w:type="dxa"/>
          </w:tcPr>
          <w:p w:rsidR="008921AE" w:rsidRDefault="001560FA" w:rsidP="0000798F">
            <w:r w:rsidRPr="00F34A35">
              <w:rPr>
                <w:rFonts w:ascii="Arial" w:hAnsi="Arial" w:cs="Arial"/>
              </w:rPr>
              <w:t>monthly</w:t>
            </w:r>
          </w:p>
        </w:tc>
      </w:tr>
      <w:tr w:rsidR="00573318" w:rsidTr="008921AE">
        <w:tc>
          <w:tcPr>
            <w:tcW w:w="2394" w:type="dxa"/>
          </w:tcPr>
          <w:p w:rsidR="00573318" w:rsidRDefault="00573318" w:rsidP="007941FE">
            <w:r>
              <w:rPr>
                <w:rFonts w:ascii="Arial" w:hAnsi="Arial" w:cs="Arial"/>
              </w:rPr>
              <w:t xml:space="preserve">rainfall </w:t>
            </w:r>
            <w:r w:rsidRPr="00573318">
              <w:rPr>
                <w:rFonts w:ascii="Arial" w:hAnsi="Arial" w:cs="Arial"/>
              </w:rPr>
              <w:t xml:space="preserve">for the </w:t>
            </w:r>
            <w:proofErr w:type="spellStart"/>
            <w:r w:rsidRPr="00573318">
              <w:rPr>
                <w:rFonts w:ascii="Arial" w:hAnsi="Arial" w:cs="Arial"/>
              </w:rPr>
              <w:t>raingauge</w:t>
            </w:r>
            <w:proofErr w:type="spellEnd"/>
            <w:r w:rsidRPr="00573318">
              <w:rPr>
                <w:rFonts w:ascii="Arial" w:hAnsi="Arial" w:cs="Arial"/>
              </w:rPr>
              <w:t xml:space="preserve"> station located at </w:t>
            </w:r>
            <w:proofErr w:type="spellStart"/>
            <w:r w:rsidRPr="00573318">
              <w:rPr>
                <w:rFonts w:ascii="Arial" w:hAnsi="Arial" w:cs="Arial"/>
              </w:rPr>
              <w:t>Bankura</w:t>
            </w:r>
            <w:proofErr w:type="spellEnd"/>
            <w:r w:rsidRPr="00573318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2394" w:type="dxa"/>
          </w:tcPr>
          <w:p w:rsidR="00573318" w:rsidRDefault="00573318" w:rsidP="0000798F">
            <w:r>
              <w:rPr>
                <w:rFonts w:ascii="Arial" w:hAnsi="Arial" w:cs="Arial"/>
              </w:rPr>
              <w:t xml:space="preserve">Irrigation Division, Govt. of West Bengal, </w:t>
            </w:r>
            <w:proofErr w:type="spellStart"/>
            <w:r>
              <w:rPr>
                <w:rFonts w:ascii="Arial" w:hAnsi="Arial" w:cs="Arial"/>
              </w:rPr>
              <w:t>Bankura</w:t>
            </w:r>
            <w:proofErr w:type="spellEnd"/>
          </w:p>
        </w:tc>
        <w:tc>
          <w:tcPr>
            <w:tcW w:w="2394" w:type="dxa"/>
          </w:tcPr>
          <w:p w:rsidR="00573318" w:rsidRDefault="00573318" w:rsidP="0000798F">
            <w:r>
              <w:rPr>
                <w:rFonts w:ascii="Arial" w:hAnsi="Arial" w:cs="Arial"/>
              </w:rPr>
              <w:t>thirty four years (1975-2008)</w:t>
            </w:r>
          </w:p>
        </w:tc>
        <w:tc>
          <w:tcPr>
            <w:tcW w:w="2394" w:type="dxa"/>
          </w:tcPr>
          <w:p w:rsidR="00573318" w:rsidRDefault="00573318" w:rsidP="0000798F">
            <w:r w:rsidRPr="00F34A35">
              <w:rPr>
                <w:rFonts w:ascii="Arial" w:hAnsi="Arial" w:cs="Arial"/>
              </w:rPr>
              <w:t>monthly</w:t>
            </w:r>
          </w:p>
        </w:tc>
      </w:tr>
      <w:tr w:rsidR="00E4652F" w:rsidTr="008921AE">
        <w:tc>
          <w:tcPr>
            <w:tcW w:w="2394" w:type="dxa"/>
          </w:tcPr>
          <w:p w:rsidR="00E4652F" w:rsidRDefault="00E4652F" w:rsidP="007941FE">
            <w:pPr>
              <w:rPr>
                <w:rFonts w:ascii="Arial" w:hAnsi="Arial" w:cs="Arial"/>
              </w:rPr>
            </w:pPr>
            <w:r w:rsidRPr="00F34A35">
              <w:rPr>
                <w:rFonts w:ascii="Arial" w:hAnsi="Arial" w:cs="Arial"/>
              </w:rPr>
              <w:t xml:space="preserve">meteorological data such as maximum and minimum air temperature, relative humidity, wind speed, solar radiation and vapor pressure </w:t>
            </w:r>
            <w:r w:rsidR="007941FE" w:rsidRPr="007941FE">
              <w:rPr>
                <w:rFonts w:ascii="Arial" w:hAnsi="Arial" w:cs="Arial"/>
              </w:rPr>
              <w:t xml:space="preserve">for </w:t>
            </w:r>
            <w:proofErr w:type="spellStart"/>
            <w:r w:rsidRPr="007941FE">
              <w:rPr>
                <w:rFonts w:ascii="Arial" w:hAnsi="Arial" w:cs="Arial"/>
              </w:rPr>
              <w:t>Bankura</w:t>
            </w:r>
            <w:proofErr w:type="spellEnd"/>
            <w:r w:rsidR="007941FE" w:rsidRPr="007941FE">
              <w:rPr>
                <w:rFonts w:ascii="Arial" w:hAnsi="Arial" w:cs="Arial"/>
              </w:rPr>
              <w:t xml:space="preserve"> station</w:t>
            </w:r>
          </w:p>
        </w:tc>
        <w:tc>
          <w:tcPr>
            <w:tcW w:w="2394" w:type="dxa"/>
          </w:tcPr>
          <w:p w:rsidR="00E4652F" w:rsidRPr="00AA65A5" w:rsidRDefault="00AA65A5" w:rsidP="000079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A65A5">
              <w:rPr>
                <w:rFonts w:ascii="Arial" w:hAnsi="Arial" w:cs="Arial"/>
              </w:rPr>
              <w:t xml:space="preserve">eteorological observatory, Govt. of West Bengal, at </w:t>
            </w:r>
            <w:proofErr w:type="spellStart"/>
            <w:r w:rsidRPr="00AA65A5">
              <w:rPr>
                <w:rFonts w:ascii="Arial" w:hAnsi="Arial" w:cs="Arial"/>
              </w:rPr>
              <w:t>Bankura</w:t>
            </w:r>
            <w:proofErr w:type="spellEnd"/>
          </w:p>
        </w:tc>
        <w:tc>
          <w:tcPr>
            <w:tcW w:w="2394" w:type="dxa"/>
          </w:tcPr>
          <w:p w:rsidR="00E4652F" w:rsidRDefault="007941FE" w:rsidP="000079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Ten years (1999-2008)</w:t>
            </w:r>
          </w:p>
        </w:tc>
        <w:tc>
          <w:tcPr>
            <w:tcW w:w="2394" w:type="dxa"/>
          </w:tcPr>
          <w:p w:rsidR="00E4652F" w:rsidRPr="00F34A35" w:rsidRDefault="007941FE" w:rsidP="000079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monthly</w:t>
            </w:r>
          </w:p>
        </w:tc>
      </w:tr>
      <w:tr w:rsidR="00335851" w:rsidTr="008921AE">
        <w:tc>
          <w:tcPr>
            <w:tcW w:w="2394" w:type="dxa"/>
          </w:tcPr>
          <w:p w:rsidR="00335851" w:rsidRPr="00F34A35" w:rsidRDefault="00335851" w:rsidP="007941FE">
            <w:pPr>
              <w:rPr>
                <w:rFonts w:ascii="Arial" w:hAnsi="Arial" w:cs="Arial"/>
              </w:rPr>
            </w:pPr>
            <w:r w:rsidRPr="00F34A35">
              <w:rPr>
                <w:rFonts w:ascii="Arial" w:hAnsi="Arial" w:cs="Arial"/>
              </w:rPr>
              <w:t xml:space="preserve">Discharge data at </w:t>
            </w:r>
            <w:proofErr w:type="spellStart"/>
            <w:r w:rsidRPr="00F34A35">
              <w:rPr>
                <w:rFonts w:ascii="Arial" w:hAnsi="Arial" w:cs="Arial"/>
              </w:rPr>
              <w:t>Suknibasa</w:t>
            </w:r>
            <w:proofErr w:type="spellEnd"/>
            <w:r w:rsidRPr="00F34A35">
              <w:rPr>
                <w:rFonts w:ascii="Arial" w:hAnsi="Arial" w:cs="Arial"/>
              </w:rPr>
              <w:t xml:space="preserve"> gauge station </w:t>
            </w:r>
          </w:p>
        </w:tc>
        <w:tc>
          <w:tcPr>
            <w:tcW w:w="2394" w:type="dxa"/>
          </w:tcPr>
          <w:p w:rsidR="00335851" w:rsidRPr="004D08C8" w:rsidRDefault="00335851" w:rsidP="0000798F">
            <w:pPr>
              <w:rPr>
                <w:rFonts w:ascii="Arial" w:hAnsi="Arial" w:cs="Arial"/>
              </w:rPr>
            </w:pPr>
            <w:r w:rsidRPr="004D08C8">
              <w:rPr>
                <w:rFonts w:ascii="Arial" w:hAnsi="Arial" w:cs="Arial"/>
              </w:rPr>
              <w:t xml:space="preserve">Investigation and Planning Division, I&amp;WD, Govt. of West Bengal, </w:t>
            </w:r>
            <w:proofErr w:type="spellStart"/>
            <w:r w:rsidRPr="004D08C8">
              <w:rPr>
                <w:rFonts w:ascii="Arial" w:hAnsi="Arial" w:cs="Arial"/>
              </w:rPr>
              <w:t>Burdwan</w:t>
            </w:r>
            <w:proofErr w:type="spellEnd"/>
            <w:r w:rsidRPr="004D08C8">
              <w:rPr>
                <w:rFonts w:ascii="Arial" w:hAnsi="Arial" w:cs="Arial"/>
              </w:rPr>
              <w:t>.</w:t>
            </w:r>
          </w:p>
        </w:tc>
        <w:tc>
          <w:tcPr>
            <w:tcW w:w="2394" w:type="dxa"/>
          </w:tcPr>
          <w:p w:rsidR="00335851" w:rsidRPr="004D08C8" w:rsidRDefault="00335851" w:rsidP="0000798F">
            <w:pPr>
              <w:rPr>
                <w:rFonts w:ascii="Arial" w:hAnsi="Arial" w:cs="Arial"/>
              </w:rPr>
            </w:pPr>
            <w:r w:rsidRPr="004D08C8">
              <w:rPr>
                <w:rFonts w:ascii="Arial" w:hAnsi="Arial" w:cs="Arial"/>
              </w:rPr>
              <w:t>1995-2006</w:t>
            </w:r>
          </w:p>
        </w:tc>
        <w:tc>
          <w:tcPr>
            <w:tcW w:w="2394" w:type="dxa"/>
          </w:tcPr>
          <w:p w:rsidR="00335851" w:rsidRPr="00F34A35" w:rsidRDefault="007941FE" w:rsidP="000079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monthly</w:t>
            </w:r>
          </w:p>
        </w:tc>
      </w:tr>
      <w:tr w:rsidR="004D08C8" w:rsidTr="008921AE">
        <w:tc>
          <w:tcPr>
            <w:tcW w:w="2394" w:type="dxa"/>
          </w:tcPr>
          <w:p w:rsidR="004D08C8" w:rsidRPr="007941FE" w:rsidRDefault="00B17F02" w:rsidP="00B17F02">
            <w:pPr>
              <w:rPr>
                <w:rFonts w:ascii="Arial" w:hAnsi="Arial" w:cs="Arial"/>
              </w:rPr>
            </w:pPr>
            <w:proofErr w:type="spellStart"/>
            <w:r w:rsidRPr="007941FE">
              <w:rPr>
                <w:rFonts w:ascii="Arial" w:hAnsi="Arial" w:cs="Arial"/>
              </w:rPr>
              <w:t>T</w:t>
            </w:r>
            <w:r w:rsidR="004D08C8" w:rsidRPr="007941FE">
              <w:rPr>
                <w:rFonts w:ascii="Arial" w:hAnsi="Arial" w:cs="Arial"/>
              </w:rPr>
              <w:t>oposheets</w:t>
            </w:r>
            <w:proofErr w:type="spellEnd"/>
            <w:r w:rsidR="004D08C8" w:rsidRPr="007941FE">
              <w:rPr>
                <w:rFonts w:ascii="Arial" w:hAnsi="Arial" w:cs="Arial"/>
              </w:rPr>
              <w:t xml:space="preserve"> (73I/11, 73I/14, 73I/15, 73I/16, 73M/3 and 73M/4) </w:t>
            </w:r>
          </w:p>
        </w:tc>
        <w:tc>
          <w:tcPr>
            <w:tcW w:w="2394" w:type="dxa"/>
          </w:tcPr>
          <w:p w:rsidR="004D08C8" w:rsidRPr="004D08C8" w:rsidRDefault="004D08C8">
            <w:pPr>
              <w:rPr>
                <w:rFonts w:ascii="Arial" w:hAnsi="Arial" w:cs="Arial"/>
              </w:rPr>
            </w:pPr>
            <w:r w:rsidRPr="00F34A35">
              <w:rPr>
                <w:rFonts w:ascii="Arial" w:hAnsi="Arial" w:cs="Arial"/>
              </w:rPr>
              <w:t>Survey of India, Govt. of India</w:t>
            </w:r>
          </w:p>
        </w:tc>
        <w:tc>
          <w:tcPr>
            <w:tcW w:w="2394" w:type="dxa"/>
          </w:tcPr>
          <w:p w:rsidR="004D08C8" w:rsidRPr="004D08C8" w:rsidRDefault="007941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394" w:type="dxa"/>
          </w:tcPr>
          <w:p w:rsidR="004D08C8" w:rsidRPr="00F34A35" w:rsidRDefault="007941FE" w:rsidP="00BD0C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4044BC" w:rsidTr="008921AE">
        <w:tc>
          <w:tcPr>
            <w:tcW w:w="2394" w:type="dxa"/>
          </w:tcPr>
          <w:p w:rsidR="004044BC" w:rsidRPr="00F34A35" w:rsidRDefault="00B17F02" w:rsidP="004044B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</w:t>
            </w:r>
            <w:r w:rsidR="004044BC" w:rsidRPr="00F34A35">
              <w:rPr>
                <w:rFonts w:ascii="Arial" w:hAnsi="Arial" w:cs="Arial"/>
              </w:rPr>
              <w:t xml:space="preserve">emporal distribution of rainfall </w:t>
            </w:r>
            <w:r w:rsidR="007941FE">
              <w:rPr>
                <w:rFonts w:ascii="Arial" w:hAnsi="Arial" w:cs="Arial"/>
              </w:rPr>
              <w:t xml:space="preserve">at </w:t>
            </w:r>
            <w:proofErr w:type="spellStart"/>
            <w:r w:rsidR="007941FE">
              <w:rPr>
                <w:rFonts w:ascii="Arial" w:hAnsi="Arial" w:cs="Arial"/>
              </w:rPr>
              <w:t>Bankura</w:t>
            </w:r>
            <w:proofErr w:type="spellEnd"/>
            <w:r w:rsidR="007941FE">
              <w:rPr>
                <w:rFonts w:ascii="Arial" w:hAnsi="Arial" w:cs="Arial"/>
              </w:rPr>
              <w:t xml:space="preserve"> </w:t>
            </w:r>
            <w:proofErr w:type="spellStart"/>
            <w:r w:rsidR="007941FE">
              <w:rPr>
                <w:rFonts w:ascii="Arial" w:hAnsi="Arial" w:cs="Arial"/>
              </w:rPr>
              <w:t>raingauge</w:t>
            </w:r>
            <w:proofErr w:type="spellEnd"/>
            <w:r w:rsidR="007941FE">
              <w:rPr>
                <w:rFonts w:ascii="Arial" w:hAnsi="Arial" w:cs="Arial"/>
              </w:rPr>
              <w:t xml:space="preserve"> station</w:t>
            </w:r>
          </w:p>
          <w:p w:rsidR="004044BC" w:rsidRPr="00335851" w:rsidRDefault="004044BC" w:rsidP="004D08C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394" w:type="dxa"/>
          </w:tcPr>
          <w:p w:rsidR="004044BC" w:rsidRPr="00F34A35" w:rsidRDefault="004044BC">
            <w:pPr>
              <w:rPr>
                <w:rFonts w:ascii="Arial" w:hAnsi="Arial" w:cs="Arial"/>
              </w:rPr>
            </w:pPr>
            <w:r w:rsidRPr="00F34A35">
              <w:rPr>
                <w:rFonts w:ascii="Arial" w:hAnsi="Arial" w:cs="Arial"/>
              </w:rPr>
              <w:t xml:space="preserve">Investigation and Planning Division, I&amp;WD, Govt. of West Bengal, </w:t>
            </w:r>
            <w:proofErr w:type="spellStart"/>
            <w:r w:rsidRPr="00F34A35">
              <w:rPr>
                <w:rFonts w:ascii="Arial" w:hAnsi="Arial" w:cs="Arial"/>
              </w:rPr>
              <w:t>Purulia</w:t>
            </w:r>
            <w:proofErr w:type="spellEnd"/>
            <w:r w:rsidRPr="00F34A35">
              <w:rPr>
                <w:rFonts w:ascii="Arial" w:hAnsi="Arial" w:cs="Arial"/>
              </w:rPr>
              <w:t xml:space="preserve">.        </w:t>
            </w:r>
          </w:p>
        </w:tc>
        <w:tc>
          <w:tcPr>
            <w:tcW w:w="2394" w:type="dxa"/>
          </w:tcPr>
          <w:p w:rsidR="004044BC" w:rsidRPr="004D08C8" w:rsidRDefault="007941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394" w:type="dxa"/>
          </w:tcPr>
          <w:p w:rsidR="004044BC" w:rsidRPr="00F34A35" w:rsidRDefault="00F333E1" w:rsidP="00BD0C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7941FE">
              <w:rPr>
                <w:rFonts w:ascii="Arial" w:hAnsi="Arial" w:cs="Arial"/>
              </w:rPr>
              <w:t>ourly</w:t>
            </w:r>
          </w:p>
        </w:tc>
      </w:tr>
    </w:tbl>
    <w:p w:rsidR="008921AE" w:rsidRDefault="008921AE"/>
    <w:p w:rsidR="00537889" w:rsidRDefault="00537889"/>
    <w:p w:rsidR="00537889" w:rsidRDefault="00537889"/>
    <w:p w:rsidR="008C5662" w:rsidRDefault="008C5662" w:rsidP="00537889">
      <w:pPr>
        <w:jc w:val="center"/>
        <w:rPr>
          <w:rFonts w:ascii="Arial" w:hAnsi="Arial" w:cs="Arial"/>
          <w:b/>
          <w:sz w:val="24"/>
          <w:szCs w:val="24"/>
        </w:rPr>
      </w:pPr>
    </w:p>
    <w:p w:rsidR="008C5662" w:rsidRDefault="008C5662" w:rsidP="00537889">
      <w:pPr>
        <w:jc w:val="center"/>
        <w:rPr>
          <w:rFonts w:ascii="Arial" w:hAnsi="Arial" w:cs="Arial"/>
          <w:b/>
          <w:sz w:val="24"/>
          <w:szCs w:val="24"/>
        </w:rPr>
      </w:pPr>
    </w:p>
    <w:p w:rsidR="008C5662" w:rsidRDefault="008C5662" w:rsidP="00537889">
      <w:pPr>
        <w:jc w:val="center"/>
        <w:rPr>
          <w:rFonts w:ascii="Arial" w:hAnsi="Arial" w:cs="Arial"/>
          <w:b/>
          <w:sz w:val="24"/>
          <w:szCs w:val="24"/>
        </w:rPr>
      </w:pPr>
    </w:p>
    <w:p w:rsidR="008C5662" w:rsidRDefault="008C5662" w:rsidP="00537889">
      <w:pPr>
        <w:jc w:val="center"/>
        <w:rPr>
          <w:rFonts w:ascii="Arial" w:hAnsi="Arial" w:cs="Arial"/>
          <w:b/>
          <w:sz w:val="24"/>
          <w:szCs w:val="24"/>
        </w:rPr>
      </w:pPr>
    </w:p>
    <w:p w:rsidR="00F333E1" w:rsidRDefault="00F333E1" w:rsidP="00F333E1">
      <w:pPr>
        <w:rPr>
          <w:rFonts w:ascii="Arial" w:hAnsi="Arial" w:cs="Arial"/>
          <w:b/>
          <w:sz w:val="24"/>
          <w:szCs w:val="24"/>
        </w:rPr>
      </w:pPr>
    </w:p>
    <w:p w:rsidR="00537889" w:rsidRDefault="008C5662" w:rsidP="00F333E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Annexure IV</w:t>
      </w:r>
    </w:p>
    <w:p w:rsidR="008C5662" w:rsidRDefault="008C5662" w:rsidP="0053788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6303523" cy="4095345"/>
            <wp:effectExtent l="19050" t="0" r="2027" b="0"/>
            <wp:docPr id="2" name="Picture 2" descr="G:\Paper1\2010-04-17_225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Paper1\2010-04-17_22553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094" cy="4095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721" w:rsidRDefault="00961721" w:rsidP="00537889">
      <w:pPr>
        <w:jc w:val="center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AA5" w:rsidRDefault="00CC6AA5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D147A" w:rsidRDefault="009D147A" w:rsidP="00CC6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5167" w:rsidRDefault="00CC6AA5" w:rsidP="00CC6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3053">
        <w:rPr>
          <w:rFonts w:ascii="Arial" w:hAnsi="Arial" w:cs="Arial"/>
          <w:b/>
          <w:sz w:val="24"/>
          <w:szCs w:val="24"/>
        </w:rPr>
        <w:lastRenderedPageBreak/>
        <w:t>Annexure V</w:t>
      </w:r>
    </w:p>
    <w:p w:rsidR="00EE3053" w:rsidRPr="00EE3053" w:rsidRDefault="00EE3053" w:rsidP="00CC6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5067" w:rsidRPr="00815FE5" w:rsidRDefault="00305067" w:rsidP="003050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5FE5">
        <w:rPr>
          <w:rFonts w:ascii="Arial" w:hAnsi="Arial" w:cs="Arial"/>
          <w:b/>
          <w:sz w:val="24"/>
          <w:szCs w:val="24"/>
        </w:rPr>
        <w:t>Table</w:t>
      </w:r>
      <w:r w:rsidR="00EE3053" w:rsidRPr="00815FE5">
        <w:rPr>
          <w:rFonts w:ascii="Arial" w:hAnsi="Arial" w:cs="Arial"/>
          <w:b/>
          <w:sz w:val="24"/>
          <w:szCs w:val="24"/>
        </w:rPr>
        <w:t xml:space="preserve"> 3</w:t>
      </w:r>
      <w:r w:rsidRPr="00815FE5">
        <w:rPr>
          <w:rFonts w:ascii="Arial" w:hAnsi="Arial" w:cs="Arial"/>
          <w:b/>
          <w:sz w:val="24"/>
          <w:szCs w:val="24"/>
        </w:rPr>
        <w:t>: Reservoir Storage</w:t>
      </w:r>
      <w:r w:rsidR="00EE3053" w:rsidRPr="00815FE5">
        <w:rPr>
          <w:rFonts w:ascii="Arial" w:hAnsi="Arial" w:cs="Arial"/>
          <w:b/>
          <w:sz w:val="24"/>
          <w:szCs w:val="24"/>
        </w:rPr>
        <w:t xml:space="preserve"> Volume vs. Level</w:t>
      </w:r>
    </w:p>
    <w:p w:rsidR="00106E1E" w:rsidRDefault="00106E1E" w:rsidP="00CC6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192"/>
        <w:gridCol w:w="3192"/>
        <w:gridCol w:w="3192"/>
      </w:tblGrid>
      <w:tr w:rsidR="00CC6AA5" w:rsidRPr="00106E1E" w:rsidTr="00CC6AA5">
        <w:trPr>
          <w:jc w:val="center"/>
        </w:trPr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Reservoir Storage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Volume (ham)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Level (m)</w:t>
            </w:r>
          </w:p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AA5" w:rsidRPr="00106E1E" w:rsidTr="00CC6AA5">
        <w:trPr>
          <w:jc w:val="center"/>
        </w:trPr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Full Storage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9656   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120.8</w:t>
            </w:r>
          </w:p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AA5" w:rsidRPr="00106E1E" w:rsidTr="00CC6AA5">
        <w:trPr>
          <w:jc w:val="center"/>
        </w:trPr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Dead Storage                                   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115.4</w:t>
            </w:r>
          </w:p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AA5" w:rsidRPr="00106E1E" w:rsidTr="00CC6AA5">
        <w:trPr>
          <w:jc w:val="center"/>
        </w:trPr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Live Storage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7256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119.2</w:t>
            </w:r>
          </w:p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AA5" w:rsidRPr="00106E1E" w:rsidTr="00CC6AA5">
        <w:trPr>
          <w:jc w:val="center"/>
        </w:trPr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Initial Storage                                  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2400        </w:t>
            </w:r>
          </w:p>
        </w:tc>
        <w:tc>
          <w:tcPr>
            <w:tcW w:w="3192" w:type="dxa"/>
          </w:tcPr>
          <w:p w:rsidR="00CC6AA5" w:rsidRPr="00106E1E" w:rsidRDefault="00CC6AA5" w:rsidP="00CC6A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E1E">
              <w:rPr>
                <w:rFonts w:ascii="Times New Roman" w:eastAsia="Times New Roman" w:hAnsi="Times New Roman" w:cs="Times New Roman"/>
                <w:sz w:val="24"/>
                <w:szCs w:val="24"/>
              </w:rPr>
              <w:t>115.4</w:t>
            </w:r>
          </w:p>
          <w:p w:rsidR="00CC6AA5" w:rsidRPr="00106E1E" w:rsidRDefault="00CC6AA5" w:rsidP="00CC6A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C6AA5" w:rsidRDefault="00CC6AA5" w:rsidP="00CC6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5167" w:rsidRDefault="00B15167" w:rsidP="00B15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B1516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color w:val="000000"/>
        </w:rPr>
      </w:pPr>
    </w:p>
    <w:p w:rsidR="001A7B71" w:rsidRDefault="001A7B71" w:rsidP="001A7B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Annexure VI</w:t>
      </w:r>
    </w:p>
    <w:p w:rsidR="00B83E44" w:rsidRDefault="00B83E44" w:rsidP="00646F4B">
      <w:pPr>
        <w:rPr>
          <w:rFonts w:ascii="Arial" w:eastAsia="Times New Roman" w:hAnsi="Arial" w:cs="Arial"/>
        </w:rPr>
      </w:pPr>
    </w:p>
    <w:p w:rsidR="00646F4B" w:rsidRDefault="0089622D" w:rsidP="00646F4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</w:t>
      </w:r>
      <w:r w:rsidRPr="00586FB3">
        <w:rPr>
          <w:rFonts w:ascii="Arial" w:eastAsia="Times New Roman" w:hAnsi="Arial" w:cs="Arial"/>
        </w:rPr>
        <w:t xml:space="preserve">he hydrological condition that shall prevail under the projected climate condition in </w:t>
      </w:r>
      <w:proofErr w:type="gramStart"/>
      <w:r>
        <w:rPr>
          <w:rFonts w:ascii="Arial" w:eastAsia="Times New Roman" w:hAnsi="Arial" w:cs="Arial"/>
        </w:rPr>
        <w:t>the  basin</w:t>
      </w:r>
      <w:proofErr w:type="gramEnd"/>
      <w:r>
        <w:rPr>
          <w:rFonts w:ascii="Arial" w:eastAsia="Times New Roman" w:hAnsi="Arial" w:cs="Arial"/>
        </w:rPr>
        <w:t xml:space="preserve"> is to be simulated</w:t>
      </w:r>
      <w:r>
        <w:rPr>
          <w:rFonts w:ascii="NimbusSanL-Regu" w:hAnsi="NimbusSanL-Regu" w:cs="NimbusSanL-Regu"/>
          <w:color w:val="000000"/>
        </w:rPr>
        <w:t xml:space="preserve"> In order to comment  on </w:t>
      </w:r>
      <w:r w:rsidR="00547794">
        <w:rPr>
          <w:rFonts w:ascii="NimbusSanL-Regu" w:hAnsi="NimbusSanL-Regu" w:cs="NimbusSanL-Regu"/>
          <w:color w:val="000000"/>
        </w:rPr>
        <w:t xml:space="preserve">Impact of </w:t>
      </w:r>
      <w:r w:rsidR="00B15167" w:rsidRPr="00586FB3">
        <w:rPr>
          <w:rFonts w:ascii="Arial" w:eastAsia="Times New Roman" w:hAnsi="Arial" w:cs="Arial"/>
        </w:rPr>
        <w:t xml:space="preserve"> climate change on </w:t>
      </w:r>
      <w:r w:rsidR="00547794">
        <w:rPr>
          <w:rFonts w:ascii="NimbusSanL-Regu" w:hAnsi="NimbusSanL-Regu" w:cs="NimbusSanL-Regu"/>
          <w:color w:val="000000"/>
        </w:rPr>
        <w:t>projected stream flow</w:t>
      </w:r>
      <w:r w:rsidR="00547794" w:rsidRPr="00586FB3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. </w:t>
      </w:r>
      <w:r w:rsidR="0083779C">
        <w:rPr>
          <w:rFonts w:ascii="Arial" w:eastAsia="Times New Roman" w:hAnsi="Arial" w:cs="Arial"/>
        </w:rPr>
        <w:t xml:space="preserve"> </w:t>
      </w:r>
      <w:r w:rsidR="00B15167" w:rsidRPr="00586FB3">
        <w:rPr>
          <w:rFonts w:ascii="Arial" w:eastAsia="Times New Roman" w:hAnsi="Arial" w:cs="Arial"/>
        </w:rPr>
        <w:t>Such an approach is adopted as hydrological response is a highly</w:t>
      </w:r>
      <w:r w:rsidR="00547794">
        <w:rPr>
          <w:rFonts w:ascii="Arial" w:eastAsia="Times New Roman" w:hAnsi="Arial" w:cs="Arial"/>
        </w:rPr>
        <w:t xml:space="preserve"> complex process governed by </w:t>
      </w:r>
      <w:proofErr w:type="spellStart"/>
      <w:proofErr w:type="gramStart"/>
      <w:r w:rsidR="0072596C">
        <w:rPr>
          <w:rFonts w:ascii="Arial" w:eastAsia="Times New Roman" w:hAnsi="Arial" w:cs="Arial"/>
        </w:rPr>
        <w:t>climatological</w:t>
      </w:r>
      <w:proofErr w:type="spellEnd"/>
      <w:r w:rsidR="0072596C">
        <w:rPr>
          <w:rFonts w:ascii="Arial" w:eastAsia="Times New Roman" w:hAnsi="Arial" w:cs="Arial"/>
        </w:rPr>
        <w:t xml:space="preserve"> </w:t>
      </w:r>
      <w:r w:rsidR="00B15167" w:rsidRPr="00586FB3">
        <w:rPr>
          <w:rFonts w:ascii="Arial" w:eastAsia="Times New Roman" w:hAnsi="Arial" w:cs="Arial"/>
        </w:rPr>
        <w:t xml:space="preserve"> </w:t>
      </w:r>
      <w:r w:rsidR="0083779C">
        <w:rPr>
          <w:rFonts w:ascii="Arial" w:eastAsia="Times New Roman" w:hAnsi="Arial" w:cs="Arial"/>
        </w:rPr>
        <w:t>and</w:t>
      </w:r>
      <w:proofErr w:type="gramEnd"/>
      <w:r w:rsidR="0083779C">
        <w:rPr>
          <w:rFonts w:ascii="Arial" w:eastAsia="Times New Roman" w:hAnsi="Arial" w:cs="Arial"/>
        </w:rPr>
        <w:t xml:space="preserve">  catchment characteristics.</w:t>
      </w:r>
      <w:r w:rsidR="00B15167" w:rsidRPr="00586FB3">
        <w:rPr>
          <w:rFonts w:ascii="Arial" w:eastAsia="Times New Roman" w:hAnsi="Arial" w:cs="Arial"/>
        </w:rPr>
        <w:t xml:space="preserve"> </w:t>
      </w:r>
      <w:r w:rsidR="00B15167" w:rsidRPr="0083779C">
        <w:rPr>
          <w:rFonts w:ascii="Arial" w:eastAsia="Times New Roman" w:hAnsi="Arial" w:cs="Arial"/>
        </w:rPr>
        <w:t>This warrants a continuous time simulation of the hydrologic process.</w:t>
      </w:r>
    </w:p>
    <w:p w:rsidR="00646F4B" w:rsidRDefault="00646F4B" w:rsidP="0083779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The </w:t>
      </w:r>
      <w:r w:rsidR="00B15167" w:rsidRPr="00586FB3">
        <w:rPr>
          <w:rFonts w:ascii="Arial" w:eastAsia="Times New Roman" w:hAnsi="Arial" w:cs="Arial"/>
        </w:rPr>
        <w:t xml:space="preserve">projected climate scenario </w:t>
      </w:r>
      <w:r w:rsidR="00D23D89">
        <w:rPr>
          <w:rFonts w:ascii="Arial" w:eastAsia="Times New Roman" w:hAnsi="Arial" w:cs="Arial"/>
        </w:rPr>
        <w:t>(</w:t>
      </w:r>
      <w:r w:rsidR="00B15167" w:rsidRPr="00586FB3">
        <w:rPr>
          <w:rFonts w:ascii="Arial" w:eastAsia="Times New Roman" w:hAnsi="Arial" w:cs="Arial"/>
        </w:rPr>
        <w:t xml:space="preserve">involving </w:t>
      </w:r>
      <w:proofErr w:type="spellStart"/>
      <w:r w:rsidR="0072596C">
        <w:rPr>
          <w:rFonts w:ascii="Arial" w:eastAsia="Times New Roman" w:hAnsi="Arial" w:cs="Arial"/>
        </w:rPr>
        <w:t>climatologi</w:t>
      </w:r>
      <w:r w:rsidR="0083779C">
        <w:rPr>
          <w:rFonts w:ascii="Arial" w:eastAsia="Times New Roman" w:hAnsi="Arial" w:cs="Arial"/>
        </w:rPr>
        <w:t>cal</w:t>
      </w:r>
      <w:proofErr w:type="spellEnd"/>
      <w:r w:rsidR="0083779C" w:rsidRPr="00586FB3">
        <w:rPr>
          <w:rFonts w:ascii="Arial" w:eastAsia="Times New Roman" w:hAnsi="Arial" w:cs="Arial"/>
        </w:rPr>
        <w:t xml:space="preserve"> </w:t>
      </w:r>
      <w:proofErr w:type="gramStart"/>
      <w:r w:rsidR="00B15167" w:rsidRPr="00586FB3">
        <w:rPr>
          <w:rFonts w:ascii="Arial" w:eastAsia="Times New Roman" w:hAnsi="Arial" w:cs="Arial"/>
        </w:rPr>
        <w:t xml:space="preserve">data </w:t>
      </w:r>
      <w:r w:rsidR="00D23D89">
        <w:rPr>
          <w:rFonts w:ascii="Arial" w:eastAsia="Times New Roman" w:hAnsi="Arial" w:cs="Arial"/>
        </w:rPr>
        <w:t>)</w:t>
      </w:r>
      <w:proofErr w:type="gramEnd"/>
      <w:r w:rsidR="00D23D89">
        <w:rPr>
          <w:rFonts w:ascii="Arial" w:eastAsia="Times New Roman" w:hAnsi="Arial" w:cs="Arial"/>
        </w:rPr>
        <w:t xml:space="preserve"> of the study area is to be </w:t>
      </w:r>
      <w:proofErr w:type="spellStart"/>
      <w:r w:rsidR="00D23D89">
        <w:rPr>
          <w:rFonts w:ascii="Arial" w:eastAsia="Times New Roman" w:hAnsi="Arial" w:cs="Arial"/>
        </w:rPr>
        <w:t>analysed</w:t>
      </w:r>
      <w:proofErr w:type="spellEnd"/>
      <w:r w:rsidR="00D23D89">
        <w:rPr>
          <w:rFonts w:ascii="Arial" w:eastAsia="Times New Roman" w:hAnsi="Arial" w:cs="Arial"/>
        </w:rPr>
        <w:t xml:space="preserve"> in order to know the </w:t>
      </w:r>
      <w:r w:rsidR="00D23D89">
        <w:rPr>
          <w:rFonts w:ascii="NimbusSanL-Regu" w:hAnsi="NimbusSanL-Regu" w:cs="NimbusSanL-Regu"/>
          <w:color w:val="000000"/>
        </w:rPr>
        <w:t>susceptib</w:t>
      </w:r>
      <w:r w:rsidR="00430B91">
        <w:rPr>
          <w:rFonts w:ascii="NimbusSanL-Regu" w:hAnsi="NimbusSanL-Regu" w:cs="NimbusSanL-Regu"/>
          <w:color w:val="000000"/>
        </w:rPr>
        <w:t xml:space="preserve">ility of the </w:t>
      </w:r>
      <w:r w:rsidR="00D23D89">
        <w:rPr>
          <w:rFonts w:ascii="Arial" w:eastAsia="Times New Roman" w:hAnsi="Arial" w:cs="Arial"/>
        </w:rPr>
        <w:t xml:space="preserve"> </w:t>
      </w:r>
      <w:r w:rsidR="00D23D89">
        <w:rPr>
          <w:rFonts w:ascii="NimbusSanL-Regu" w:hAnsi="NimbusSanL-Regu" w:cs="NimbusSanL-Regu"/>
          <w:color w:val="000000"/>
        </w:rPr>
        <w:t>study area to climate change or variability in the next 50 years or the life time of the reservoir project</w:t>
      </w:r>
      <w:r w:rsidR="00430B91">
        <w:rPr>
          <w:rFonts w:ascii="NimbusSanL-Regu" w:hAnsi="NimbusSanL-Regu" w:cs="NimbusSanL-Regu"/>
          <w:color w:val="000000"/>
        </w:rPr>
        <w:t xml:space="preserve">. It may be noted that </w:t>
      </w:r>
      <w:r w:rsidR="00430B91" w:rsidRPr="00586FB3">
        <w:rPr>
          <w:rFonts w:ascii="Arial" w:eastAsia="Times New Roman" w:hAnsi="Arial" w:cs="Arial"/>
        </w:rPr>
        <w:t xml:space="preserve">projected climate </w:t>
      </w:r>
      <w:proofErr w:type="gramStart"/>
      <w:r w:rsidR="00430B91" w:rsidRPr="00586FB3">
        <w:rPr>
          <w:rFonts w:ascii="Arial" w:eastAsia="Times New Roman" w:hAnsi="Arial" w:cs="Arial"/>
        </w:rPr>
        <w:t xml:space="preserve">scenario </w:t>
      </w:r>
      <w:r w:rsidR="00D23D89">
        <w:rPr>
          <w:rFonts w:ascii="Arial" w:eastAsia="Times New Roman" w:hAnsi="Arial" w:cs="Arial"/>
        </w:rPr>
        <w:t xml:space="preserve"> may</w:t>
      </w:r>
      <w:proofErr w:type="gramEnd"/>
      <w:r w:rsidR="00D23D89">
        <w:rPr>
          <w:rFonts w:ascii="Arial" w:eastAsia="Times New Roman" w:hAnsi="Arial" w:cs="Arial"/>
        </w:rPr>
        <w:t xml:space="preserve"> be </w:t>
      </w:r>
      <w:r w:rsidR="00B15167" w:rsidRPr="00586FB3">
        <w:rPr>
          <w:rFonts w:ascii="Arial" w:eastAsia="Times New Roman" w:hAnsi="Arial" w:cs="Arial"/>
        </w:rPr>
        <w:t xml:space="preserve">obtained using </w:t>
      </w:r>
      <w:r>
        <w:rPr>
          <w:rFonts w:ascii="Arial" w:eastAsia="Times New Roman" w:hAnsi="Arial" w:cs="Arial"/>
        </w:rPr>
        <w:t xml:space="preserve">output from </w:t>
      </w:r>
      <w:r w:rsidR="0083779C">
        <w:rPr>
          <w:rFonts w:ascii="Arial" w:eastAsia="Times New Roman" w:hAnsi="Arial" w:cs="Arial"/>
        </w:rPr>
        <w:t xml:space="preserve">Regional </w:t>
      </w:r>
      <w:r w:rsidR="00B15167" w:rsidRPr="00586FB3">
        <w:rPr>
          <w:rFonts w:ascii="Arial" w:eastAsia="Times New Roman" w:hAnsi="Arial" w:cs="Arial"/>
        </w:rPr>
        <w:t xml:space="preserve">Climate Model </w:t>
      </w:r>
      <w:r w:rsidR="00430B91" w:rsidRPr="00586FB3">
        <w:rPr>
          <w:rFonts w:ascii="Arial" w:eastAsia="Times New Roman" w:hAnsi="Arial" w:cs="Arial"/>
        </w:rPr>
        <w:t xml:space="preserve">HADRM2 </w:t>
      </w:r>
      <w:r w:rsidR="00430B91">
        <w:rPr>
          <w:rFonts w:ascii="Arial" w:hAnsi="Arial" w:cs="Arial"/>
        </w:rPr>
        <w:t>(</w:t>
      </w:r>
      <w:r w:rsidR="00430B91" w:rsidRPr="00586FB3">
        <w:rPr>
          <w:rFonts w:ascii="Arial" w:eastAsia="Times New Roman" w:hAnsi="Arial" w:cs="Arial"/>
        </w:rPr>
        <w:t xml:space="preserve">Regional Climate Model of the Hadley </w:t>
      </w:r>
      <w:r w:rsidR="00430B91">
        <w:rPr>
          <w:rFonts w:ascii="Arial" w:hAnsi="Arial" w:cs="Arial"/>
        </w:rPr>
        <w:t>Centre )</w:t>
      </w:r>
      <w:r w:rsidR="00B15167" w:rsidRPr="00586FB3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as developed by IITM (Indian Institute of Tropical Meteorology), </w:t>
      </w:r>
      <w:proofErr w:type="spellStart"/>
      <w:r w:rsidR="006E501D">
        <w:rPr>
          <w:rFonts w:ascii="Arial" w:eastAsia="Times New Roman" w:hAnsi="Arial" w:cs="Arial"/>
        </w:rPr>
        <w:t>Pune</w:t>
      </w:r>
      <w:proofErr w:type="spellEnd"/>
      <w:r w:rsidR="006E501D">
        <w:rPr>
          <w:rFonts w:ascii="Arial" w:eastAsia="Times New Roman" w:hAnsi="Arial" w:cs="Arial"/>
        </w:rPr>
        <w:t>, India.</w:t>
      </w:r>
    </w:p>
    <w:p w:rsidR="00B15167" w:rsidRPr="00586FB3" w:rsidRDefault="00646F4B" w:rsidP="0083779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Thus it is not possible to comment anything without undertaking the above noted exercise. </w:t>
      </w:r>
    </w:p>
    <w:p w:rsidR="00B15167" w:rsidRDefault="00B15167" w:rsidP="00B15167"/>
    <w:p w:rsidR="00537889" w:rsidRDefault="00537889" w:rsidP="00537889">
      <w:pPr>
        <w:jc w:val="center"/>
        <w:rPr>
          <w:rFonts w:ascii="Arial" w:hAnsi="Arial" w:cs="Arial"/>
          <w:b/>
          <w:sz w:val="24"/>
          <w:szCs w:val="24"/>
        </w:rPr>
      </w:pPr>
    </w:p>
    <w:p w:rsidR="00B15167" w:rsidRDefault="00B15167" w:rsidP="00537889">
      <w:pPr>
        <w:jc w:val="center"/>
        <w:rPr>
          <w:rFonts w:ascii="Arial" w:hAnsi="Arial" w:cs="Arial"/>
          <w:b/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D147A" w:rsidRDefault="009D147A" w:rsidP="00312CD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9D147A" w:rsidSect="00C74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26E5C"/>
    <w:multiLevelType w:val="hybridMultilevel"/>
    <w:tmpl w:val="C95E9922"/>
    <w:lvl w:ilvl="0" w:tplc="4CA82E2E">
      <w:start w:val="1"/>
      <w:numFmt w:val="upperRoman"/>
      <w:lvlText w:val="%1."/>
      <w:lvlJc w:val="right"/>
      <w:pPr>
        <w:ind w:left="720" w:hanging="360"/>
      </w:pPr>
      <w:rPr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B63A7C"/>
    <w:rsid w:val="0000798F"/>
    <w:rsid w:val="0002019F"/>
    <w:rsid w:val="00064B79"/>
    <w:rsid w:val="00094828"/>
    <w:rsid w:val="000A794E"/>
    <w:rsid w:val="000F7BCC"/>
    <w:rsid w:val="00106E1E"/>
    <w:rsid w:val="00126927"/>
    <w:rsid w:val="00146F0E"/>
    <w:rsid w:val="001560FA"/>
    <w:rsid w:val="001660D3"/>
    <w:rsid w:val="00167BE3"/>
    <w:rsid w:val="00172CC3"/>
    <w:rsid w:val="001A6CB3"/>
    <w:rsid w:val="001A7B71"/>
    <w:rsid w:val="001B0E5D"/>
    <w:rsid w:val="001F66EB"/>
    <w:rsid w:val="002C0BC3"/>
    <w:rsid w:val="00305067"/>
    <w:rsid w:val="00306B0D"/>
    <w:rsid w:val="00312CDF"/>
    <w:rsid w:val="00335851"/>
    <w:rsid w:val="00360774"/>
    <w:rsid w:val="003B046F"/>
    <w:rsid w:val="003C12E1"/>
    <w:rsid w:val="003E3B69"/>
    <w:rsid w:val="004044BC"/>
    <w:rsid w:val="00426A7C"/>
    <w:rsid w:val="00430B91"/>
    <w:rsid w:val="00472C14"/>
    <w:rsid w:val="004C6E3F"/>
    <w:rsid w:val="004D08C8"/>
    <w:rsid w:val="005211A0"/>
    <w:rsid w:val="005374A7"/>
    <w:rsid w:val="00537889"/>
    <w:rsid w:val="00547794"/>
    <w:rsid w:val="00573318"/>
    <w:rsid w:val="00646F4B"/>
    <w:rsid w:val="00652B35"/>
    <w:rsid w:val="006608F9"/>
    <w:rsid w:val="006858B1"/>
    <w:rsid w:val="00691099"/>
    <w:rsid w:val="006B4631"/>
    <w:rsid w:val="006E088C"/>
    <w:rsid w:val="006E501D"/>
    <w:rsid w:val="0072596C"/>
    <w:rsid w:val="007800F6"/>
    <w:rsid w:val="007941FE"/>
    <w:rsid w:val="007C0B8D"/>
    <w:rsid w:val="007D072E"/>
    <w:rsid w:val="007F1DDB"/>
    <w:rsid w:val="00814FA3"/>
    <w:rsid w:val="00815F42"/>
    <w:rsid w:val="00815FE5"/>
    <w:rsid w:val="0083497B"/>
    <w:rsid w:val="0083779C"/>
    <w:rsid w:val="0087497D"/>
    <w:rsid w:val="008921AE"/>
    <w:rsid w:val="0089622D"/>
    <w:rsid w:val="008A2190"/>
    <w:rsid w:val="008A3516"/>
    <w:rsid w:val="008B0BD9"/>
    <w:rsid w:val="008C5662"/>
    <w:rsid w:val="008D1451"/>
    <w:rsid w:val="009253BC"/>
    <w:rsid w:val="00961721"/>
    <w:rsid w:val="009807C8"/>
    <w:rsid w:val="0098259C"/>
    <w:rsid w:val="009903A0"/>
    <w:rsid w:val="00990AB1"/>
    <w:rsid w:val="009C5980"/>
    <w:rsid w:val="009D147A"/>
    <w:rsid w:val="009D7BD5"/>
    <w:rsid w:val="009F0006"/>
    <w:rsid w:val="00A12A04"/>
    <w:rsid w:val="00A33F25"/>
    <w:rsid w:val="00A440D1"/>
    <w:rsid w:val="00A65D0E"/>
    <w:rsid w:val="00A73E9B"/>
    <w:rsid w:val="00A92E59"/>
    <w:rsid w:val="00A92FF6"/>
    <w:rsid w:val="00AA65A5"/>
    <w:rsid w:val="00AC425A"/>
    <w:rsid w:val="00AD3B43"/>
    <w:rsid w:val="00B15167"/>
    <w:rsid w:val="00B17F02"/>
    <w:rsid w:val="00B447EE"/>
    <w:rsid w:val="00B63A7C"/>
    <w:rsid w:val="00B733E9"/>
    <w:rsid w:val="00B83E44"/>
    <w:rsid w:val="00C46CE2"/>
    <w:rsid w:val="00C73B3E"/>
    <w:rsid w:val="00C745C6"/>
    <w:rsid w:val="00CA4507"/>
    <w:rsid w:val="00CC6AA5"/>
    <w:rsid w:val="00D12799"/>
    <w:rsid w:val="00D15441"/>
    <w:rsid w:val="00D23D89"/>
    <w:rsid w:val="00D55D0F"/>
    <w:rsid w:val="00DC460C"/>
    <w:rsid w:val="00DD3674"/>
    <w:rsid w:val="00DD7483"/>
    <w:rsid w:val="00DF7E83"/>
    <w:rsid w:val="00E01B2A"/>
    <w:rsid w:val="00E0463F"/>
    <w:rsid w:val="00E4652F"/>
    <w:rsid w:val="00EE3053"/>
    <w:rsid w:val="00EF64AE"/>
    <w:rsid w:val="00F0201E"/>
    <w:rsid w:val="00F22B92"/>
    <w:rsid w:val="00F333E1"/>
    <w:rsid w:val="00F639E0"/>
    <w:rsid w:val="00FD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BD9"/>
    <w:pPr>
      <w:ind w:left="720"/>
      <w:contextualSpacing/>
    </w:pPr>
  </w:style>
  <w:style w:type="table" w:styleId="TableGrid">
    <w:name w:val="Table Grid"/>
    <w:basedOn w:val="TableNormal"/>
    <w:uiPriority w:val="59"/>
    <w:rsid w:val="008921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0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B8D51-C51A-4E73-BA90-E06CF5884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9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101</cp:revision>
  <dcterms:created xsi:type="dcterms:W3CDTF">2010-04-16T10:27:00Z</dcterms:created>
  <dcterms:modified xsi:type="dcterms:W3CDTF">2010-04-19T09:31:00Z</dcterms:modified>
</cp:coreProperties>
</file>